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jc w:val="center"/>
        <w:outlineLvl w:val="0"/>
        <w:rPr>
          <w:rFonts w:eastAsia="黑体"/>
          <w:b/>
          <w:bCs/>
          <w:kern w:val="0"/>
          <w:sz w:val="32"/>
          <w:szCs w:val="30"/>
          <w:lang w:val="zh-CN"/>
        </w:rPr>
      </w:pPr>
      <w:bookmarkStart w:id="0" w:name="_Toc455394173"/>
      <w:bookmarkStart w:id="1" w:name="_Toc455393390"/>
      <w:bookmarkStart w:id="2" w:name="_Toc455393611"/>
      <w:bookmarkStart w:id="3" w:name="_Toc18494"/>
      <w:bookmarkStart w:id="16" w:name="_GoBack"/>
      <w:r>
        <w:rPr>
          <w:rFonts w:hint="eastAsia" w:eastAsia="黑体"/>
          <w:b/>
          <w:bCs/>
          <w:kern w:val="0"/>
          <w:sz w:val="32"/>
          <w:szCs w:val="30"/>
          <w:lang w:val="zh-CN"/>
        </w:rPr>
        <w:t>外国语言文学</w:t>
      </w:r>
      <w:r>
        <w:rPr>
          <w:rFonts w:eastAsia="黑体"/>
          <w:b/>
          <w:bCs/>
          <w:kern w:val="0"/>
          <w:sz w:val="32"/>
          <w:szCs w:val="30"/>
          <w:lang w:val="zh-CN"/>
        </w:rPr>
        <w:t>学术</w:t>
      </w:r>
      <w:r>
        <w:rPr>
          <w:rFonts w:hint="eastAsia" w:eastAsia="黑体"/>
          <w:b/>
          <w:bCs/>
          <w:kern w:val="0"/>
          <w:sz w:val="32"/>
          <w:szCs w:val="30"/>
          <w:lang w:val="zh-CN"/>
        </w:rPr>
        <w:t>学位</w:t>
      </w:r>
      <w:r>
        <w:rPr>
          <w:rFonts w:eastAsia="黑体"/>
          <w:b/>
          <w:bCs/>
          <w:kern w:val="0"/>
          <w:sz w:val="32"/>
          <w:szCs w:val="30"/>
          <w:lang w:val="zh-CN"/>
        </w:rPr>
        <w:t>硕士研究生培养方案</w:t>
      </w:r>
      <w:bookmarkEnd w:id="0"/>
      <w:bookmarkEnd w:id="1"/>
      <w:bookmarkEnd w:id="2"/>
      <w:bookmarkEnd w:id="3"/>
      <w:bookmarkStart w:id="4" w:name="_Toc454898932"/>
    </w:p>
    <w:bookmarkEnd w:id="16"/>
    <w:p>
      <w:pPr>
        <w:spacing w:after="312" w:afterLines="100" w:line="360" w:lineRule="auto"/>
        <w:jc w:val="center"/>
        <w:outlineLvl w:val="1"/>
        <w:rPr>
          <w:bCs/>
          <w:kern w:val="0"/>
          <w:sz w:val="24"/>
          <w:lang w:val="zh-CN"/>
        </w:rPr>
      </w:pPr>
      <w:bookmarkStart w:id="5" w:name="_Toc455393391"/>
      <w:bookmarkStart w:id="6" w:name="_Toc455394174"/>
      <w:bookmarkStart w:id="7" w:name="_Toc455393612"/>
      <w:r>
        <w:rPr>
          <w:bCs/>
          <w:kern w:val="0"/>
          <w:sz w:val="24"/>
          <w:lang w:val="zh-CN"/>
        </w:rPr>
        <w:t>（学科代码：0502，申请文学硕士学位适用）</w:t>
      </w:r>
      <w:bookmarkEnd w:id="4"/>
      <w:bookmarkEnd w:id="5"/>
      <w:bookmarkEnd w:id="6"/>
      <w:bookmarkEnd w:id="7"/>
    </w:p>
    <w:p>
      <w:pPr>
        <w:numPr>
          <w:ilvl w:val="0"/>
          <w:numId w:val="1"/>
        </w:numPr>
        <w:spacing w:before="156" w:beforeLines="50" w:after="156" w:afterLines="50"/>
        <w:outlineLvl w:val="2"/>
        <w:rPr>
          <w:b/>
          <w:bCs/>
          <w:kern w:val="0"/>
          <w:sz w:val="24"/>
          <w:lang w:val="zh-CN"/>
        </w:rPr>
      </w:pPr>
      <w:bookmarkStart w:id="8" w:name="_Toc32318"/>
      <w:r>
        <w:rPr>
          <w:b/>
          <w:bCs/>
          <w:kern w:val="0"/>
          <w:sz w:val="24"/>
          <w:lang w:val="zh-CN"/>
        </w:rPr>
        <w:t>培养目标</w:t>
      </w:r>
      <w:bookmarkEnd w:id="8"/>
    </w:p>
    <w:p>
      <w:pPr>
        <w:spacing w:line="400" w:lineRule="exact"/>
        <w:ind w:firstLine="480" w:firstLineChars="200"/>
        <w:rPr>
          <w:bCs/>
          <w:sz w:val="24"/>
        </w:rPr>
      </w:pPr>
      <w:bookmarkStart w:id="9" w:name="_Toc25158"/>
      <w:r>
        <w:rPr>
          <w:rFonts w:hint="eastAsia"/>
          <w:sz w:val="24"/>
        </w:rPr>
        <w:t>以习近平新时代中国特色社会主义思想为指导，落实立德树人根本任务，培养</w:t>
      </w:r>
      <w:r>
        <w:rPr>
          <w:rFonts w:hint="eastAsia"/>
          <w:bCs/>
          <w:sz w:val="24"/>
        </w:rPr>
        <w:t>德智体美劳五育并举，具有坚定的理想信念，掌握扎实的理论基础、系统的专业知识，了解学科前沿动态，具备独立从事科学研究的能力，</w:t>
      </w:r>
      <w:r>
        <w:rPr>
          <w:sz w:val="24"/>
        </w:rPr>
        <w:t>适应我国社会主义改革开放和二十一世纪人类社会所需要的全面发展的高层次外语专门人才</w:t>
      </w:r>
      <w:r>
        <w:rPr>
          <w:rFonts w:hint="eastAsia"/>
          <w:sz w:val="24"/>
        </w:rPr>
        <w:t>，</w:t>
      </w:r>
      <w:r>
        <w:rPr>
          <w:sz w:val="24"/>
        </w:rPr>
        <w:t>特别是各高校外语教师、科研院所及涉外企事业</w:t>
      </w:r>
      <w:r>
        <w:rPr>
          <w:rFonts w:hint="eastAsia"/>
          <w:sz w:val="24"/>
        </w:rPr>
        <w:t>单位</w:t>
      </w:r>
      <w:r>
        <w:rPr>
          <w:sz w:val="24"/>
        </w:rPr>
        <w:t>等其它领域的高级外语人才</w:t>
      </w:r>
      <w:r>
        <w:rPr>
          <w:rFonts w:hint="eastAsia"/>
          <w:sz w:val="24"/>
        </w:rPr>
        <w:t>，具</w:t>
      </w:r>
      <w:r>
        <w:rPr>
          <w:rFonts w:hint="eastAsia"/>
          <w:bCs/>
          <w:sz w:val="24"/>
        </w:rPr>
        <w:t>体要求为：</w:t>
      </w:r>
    </w:p>
    <w:p>
      <w:pPr>
        <w:adjustRightInd w:val="0"/>
        <w:snapToGrid w:val="0"/>
        <w:spacing w:line="400" w:lineRule="exact"/>
        <w:ind w:firstLine="480" w:firstLineChars="20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pPr>
        <w:spacing w:line="400" w:lineRule="exact"/>
        <w:ind w:firstLine="480" w:firstLineChars="200"/>
        <w:rPr>
          <w:sz w:val="24"/>
        </w:rPr>
      </w:pPr>
      <w:r>
        <w:rPr>
          <w:rFonts w:hint="eastAsia"/>
          <w:bCs/>
          <w:sz w:val="24"/>
        </w:rPr>
        <w:t>（二）具有外国语言文学领域较强的理论基础和专业素养</w:t>
      </w:r>
      <w:r>
        <w:rPr>
          <w:bCs/>
          <w:sz w:val="24"/>
        </w:rPr>
        <w:t>，较深入了解本学科的现状与发展方向以及国际学术的前沿发展动态</w:t>
      </w:r>
      <w:r>
        <w:rPr>
          <w:rFonts w:hint="eastAsia"/>
          <w:bCs/>
          <w:sz w:val="24"/>
        </w:rPr>
        <w:t>，具有独立从事科学研究工作的能力，具有创造性和批判性思维，能熟练阅读本专业外文文献资料，具有</w:t>
      </w:r>
      <w:r>
        <w:rPr>
          <w:rFonts w:hint="eastAsia"/>
          <w:sz w:val="24"/>
        </w:rPr>
        <w:t>良好的听说读写译水平。</w:t>
      </w:r>
    </w:p>
    <w:p>
      <w:pPr>
        <w:adjustRightInd w:val="0"/>
        <w:snapToGrid w:val="0"/>
        <w:spacing w:line="400" w:lineRule="exact"/>
        <w:ind w:firstLine="480" w:firstLineChars="20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pPr>
        <w:adjustRightInd w:val="0"/>
        <w:snapToGrid w:val="0"/>
        <w:spacing w:line="400" w:lineRule="exact"/>
        <w:ind w:firstLine="480" w:firstLineChars="200"/>
        <w:rPr>
          <w:bCs/>
          <w:sz w:val="24"/>
        </w:rPr>
      </w:pPr>
      <w:r>
        <w:rPr>
          <w:rFonts w:hint="eastAsia"/>
          <w:bCs/>
          <w:sz w:val="24"/>
        </w:rPr>
        <w:t>（四）积极参加社会实践、社会志愿服务、创新创业等活动，形成良好劳动习惯。</w:t>
      </w:r>
    </w:p>
    <w:p>
      <w:pPr>
        <w:spacing w:before="156" w:beforeLines="50" w:after="156" w:afterLines="50"/>
        <w:outlineLvl w:val="2"/>
        <w:rPr>
          <w:b/>
          <w:bCs/>
          <w:kern w:val="0"/>
          <w:sz w:val="24"/>
          <w:lang w:val="zh-CN"/>
        </w:rPr>
      </w:pPr>
      <w:r>
        <w:rPr>
          <w:b/>
          <w:bCs/>
          <w:kern w:val="0"/>
          <w:sz w:val="24"/>
          <w:lang w:val="zh-CN"/>
        </w:rPr>
        <w:t>二、研究方向</w:t>
      </w:r>
      <w:bookmarkEnd w:id="9"/>
    </w:p>
    <w:p>
      <w:pPr>
        <w:spacing w:line="400" w:lineRule="exact"/>
        <w:ind w:left="480"/>
        <w:rPr>
          <w:sz w:val="24"/>
        </w:rPr>
      </w:pPr>
      <w:r>
        <w:rPr>
          <w:rFonts w:hint="eastAsia"/>
          <w:bCs/>
          <w:sz w:val="24"/>
        </w:rPr>
        <w:t>（一）</w:t>
      </w:r>
      <w:r>
        <w:rPr>
          <w:rFonts w:hint="eastAsia"/>
          <w:sz w:val="24"/>
        </w:rPr>
        <w:t>英语语言文学</w:t>
      </w:r>
    </w:p>
    <w:p>
      <w:pPr>
        <w:spacing w:line="400" w:lineRule="exact"/>
        <w:ind w:left="480"/>
        <w:rPr>
          <w:sz w:val="24"/>
        </w:rPr>
      </w:pPr>
      <w:r>
        <w:rPr>
          <w:bCs/>
          <w:sz w:val="24"/>
        </w:rPr>
        <w:t>（二）</w:t>
      </w:r>
      <w:r>
        <w:rPr>
          <w:rFonts w:hint="eastAsia"/>
          <w:sz w:val="24"/>
        </w:rPr>
        <w:t>外国语言学及应用语言学</w:t>
      </w:r>
    </w:p>
    <w:p>
      <w:pPr>
        <w:spacing w:line="400" w:lineRule="exact"/>
        <w:ind w:left="480"/>
        <w:rPr>
          <w:sz w:val="24"/>
        </w:rPr>
      </w:pPr>
      <w:r>
        <w:rPr>
          <w:bCs/>
          <w:sz w:val="24"/>
        </w:rPr>
        <w:t>（三）</w:t>
      </w:r>
      <w:r>
        <w:rPr>
          <w:rFonts w:hint="eastAsia"/>
          <w:sz w:val="24"/>
        </w:rPr>
        <w:t>法语语言文学</w:t>
      </w:r>
    </w:p>
    <w:p>
      <w:pPr>
        <w:spacing w:line="400" w:lineRule="exact"/>
        <w:ind w:left="480"/>
        <w:rPr>
          <w:sz w:val="24"/>
        </w:rPr>
      </w:pPr>
      <w:r>
        <w:rPr>
          <w:bCs/>
          <w:sz w:val="24"/>
        </w:rPr>
        <w:t>（四）</w:t>
      </w:r>
      <w:r>
        <w:rPr>
          <w:rFonts w:hint="eastAsia"/>
          <w:sz w:val="24"/>
        </w:rPr>
        <w:t>日语语言文学</w:t>
      </w:r>
    </w:p>
    <w:p>
      <w:pPr>
        <w:spacing w:before="156" w:beforeLines="50" w:after="156" w:afterLines="50"/>
        <w:outlineLvl w:val="2"/>
        <w:rPr>
          <w:b/>
          <w:bCs/>
          <w:kern w:val="0"/>
          <w:sz w:val="24"/>
          <w:lang w:val="zh-CN"/>
        </w:rPr>
      </w:pPr>
      <w:bookmarkStart w:id="10" w:name="_Toc711"/>
      <w:r>
        <w:rPr>
          <w:b/>
          <w:bCs/>
          <w:kern w:val="0"/>
          <w:sz w:val="24"/>
          <w:lang w:val="zh-CN"/>
        </w:rPr>
        <w:t>三、学制</w:t>
      </w:r>
      <w:r>
        <w:rPr>
          <w:rFonts w:hint="eastAsia"/>
          <w:b/>
          <w:bCs/>
          <w:kern w:val="0"/>
          <w:sz w:val="24"/>
          <w:lang w:val="zh-CN"/>
        </w:rPr>
        <w:t>及</w:t>
      </w:r>
      <w:r>
        <w:rPr>
          <w:b/>
          <w:bCs/>
          <w:kern w:val="0"/>
          <w:sz w:val="24"/>
          <w:lang w:val="zh-CN"/>
        </w:rPr>
        <w:t>学习年限要求</w:t>
      </w:r>
      <w:bookmarkEnd w:id="10"/>
    </w:p>
    <w:p>
      <w:pPr>
        <w:spacing w:line="400" w:lineRule="exact"/>
        <w:ind w:firstLine="480" w:firstLineChars="200"/>
        <w:rPr>
          <w:bCs/>
          <w:sz w:val="24"/>
        </w:rPr>
      </w:pPr>
      <w:r>
        <w:rPr>
          <w:bCs/>
          <w:sz w:val="24"/>
        </w:rPr>
        <w:t>全日制学术学位硕士研究生学制为3年，学习年限一般为3-4年，最长不超过5年。</w:t>
      </w:r>
    </w:p>
    <w:p>
      <w:pPr>
        <w:spacing w:line="400" w:lineRule="exact"/>
        <w:ind w:firstLine="480" w:firstLineChars="200"/>
        <w:rPr>
          <w:bCs/>
          <w:sz w:val="24"/>
        </w:rPr>
      </w:pPr>
      <w:r>
        <w:rPr>
          <w:bCs/>
          <w:sz w:val="24"/>
        </w:rPr>
        <w:t>非全日制学术学位硕士研究生学习年限可适当延长，一般为3-4年，最长不超过6年。</w:t>
      </w:r>
    </w:p>
    <w:p>
      <w:pPr>
        <w:spacing w:line="400" w:lineRule="exact"/>
        <w:ind w:firstLine="480" w:firstLineChars="200"/>
      </w:pPr>
      <w:r>
        <w:rPr>
          <w:bCs/>
          <w:sz w:val="24"/>
        </w:rPr>
        <w:t>休学创业的研究生，最长学习年限为10年。</w:t>
      </w:r>
    </w:p>
    <w:p>
      <w:pPr>
        <w:spacing w:before="156" w:beforeLines="50" w:after="156" w:afterLines="50"/>
        <w:outlineLvl w:val="2"/>
        <w:rPr>
          <w:b/>
          <w:bCs/>
          <w:kern w:val="0"/>
          <w:sz w:val="24"/>
          <w:lang w:val="zh-CN"/>
        </w:rPr>
      </w:pPr>
      <w:bookmarkStart w:id="11" w:name="_Toc24425"/>
      <w:r>
        <w:rPr>
          <w:rFonts w:hint="eastAsia"/>
          <w:b/>
          <w:bCs/>
          <w:kern w:val="0"/>
          <w:sz w:val="24"/>
          <w:lang w:val="zh-CN"/>
        </w:rPr>
        <w:t>四、</w:t>
      </w:r>
      <w:r>
        <w:rPr>
          <w:b/>
          <w:bCs/>
          <w:kern w:val="0"/>
          <w:sz w:val="24"/>
          <w:lang w:val="zh-CN"/>
        </w:rPr>
        <w:t>课程设置</w:t>
      </w:r>
      <w:r>
        <w:rPr>
          <w:rFonts w:hint="eastAsia"/>
          <w:b/>
          <w:bCs/>
          <w:kern w:val="0"/>
          <w:sz w:val="24"/>
          <w:lang w:val="zh-CN"/>
        </w:rPr>
        <w:t>及学分要求</w:t>
      </w:r>
      <w:bookmarkEnd w:id="11"/>
    </w:p>
    <w:p>
      <w:pPr>
        <w:spacing w:line="400" w:lineRule="exact"/>
        <w:ind w:left="567"/>
        <w:rPr>
          <w:sz w:val="24"/>
        </w:rPr>
      </w:pPr>
      <w:r>
        <w:rPr>
          <w:rFonts w:hint="eastAsia"/>
          <w:bCs/>
          <w:sz w:val="24"/>
        </w:rPr>
        <w:t>（一）</w:t>
      </w:r>
      <w:r>
        <w:rPr>
          <w:sz w:val="24"/>
        </w:rPr>
        <w:t>学分要求</w:t>
      </w:r>
    </w:p>
    <w:p>
      <w:pPr>
        <w:spacing w:line="400" w:lineRule="exact"/>
        <w:ind w:firstLine="480" w:firstLineChars="200"/>
      </w:pPr>
      <w:r>
        <w:rPr>
          <w:sz w:val="24"/>
        </w:rPr>
        <w:t xml:space="preserve"> 学术学位研究生总学分≥34学分，其中课程学习学分≥28学分，必修环节学分为6学分。所修课程由公共学位课、专业学位课和选修课三部分组成，其中公共学位课7学分，专业学位课≥12学分，专业选修课≥8学分，跨学科选修课≥1学分。必修环节包括：实践环节4学分，学术活动1学分、选题报告及中期考核1学分。</w:t>
      </w:r>
    </w:p>
    <w:p>
      <w:pPr>
        <w:spacing w:line="400" w:lineRule="exact"/>
        <w:ind w:left="567"/>
        <w:rPr>
          <w:sz w:val="24"/>
        </w:rPr>
      </w:pPr>
      <w:r>
        <w:rPr>
          <w:bCs/>
          <w:sz w:val="24"/>
        </w:rPr>
        <w:t>（二）</w:t>
      </w:r>
      <w:r>
        <w:rPr>
          <w:sz w:val="24"/>
        </w:rPr>
        <w:t>课程设置</w:t>
      </w:r>
    </w:p>
    <w:tbl>
      <w:tblPr>
        <w:tblStyle w:val="2"/>
        <w:tblW w:w="5284" w:type="pct"/>
        <w:jc w:val="center"/>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1069"/>
        <w:gridCol w:w="948"/>
        <w:gridCol w:w="1353"/>
        <w:gridCol w:w="1499"/>
        <w:gridCol w:w="672"/>
        <w:gridCol w:w="665"/>
        <w:gridCol w:w="494"/>
        <w:gridCol w:w="681"/>
        <w:gridCol w:w="913"/>
        <w:gridCol w:w="712"/>
      </w:tblGrid>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37" w:hRule="atLeast"/>
          <w:tblHeader/>
          <w:jc w:val="center"/>
        </w:trPr>
        <w:tc>
          <w:tcPr>
            <w:tcW w:w="594" w:type="pct"/>
            <w:tcMar>
              <w:top w:w="15" w:type="dxa"/>
              <w:left w:w="108" w:type="dxa"/>
              <w:bottom w:w="0" w:type="dxa"/>
              <w:right w:w="108" w:type="dxa"/>
            </w:tcMar>
            <w:vAlign w:val="center"/>
          </w:tcPr>
          <w:p>
            <w:pPr>
              <w:spacing w:line="300" w:lineRule="exact"/>
              <w:jc w:val="center"/>
              <w:rPr>
                <w:b/>
                <w:sz w:val="22"/>
                <w:szCs w:val="22"/>
              </w:rPr>
            </w:pPr>
            <w:bookmarkStart w:id="12" w:name="_Toc25406"/>
            <w:r>
              <w:rPr>
                <w:b/>
                <w:sz w:val="22"/>
                <w:szCs w:val="22"/>
              </w:rPr>
              <w:t>课程</w:t>
            </w:r>
          </w:p>
          <w:p>
            <w:pPr>
              <w:spacing w:line="300" w:lineRule="exact"/>
              <w:jc w:val="center"/>
              <w:rPr>
                <w:b/>
                <w:sz w:val="22"/>
                <w:szCs w:val="22"/>
              </w:rPr>
            </w:pPr>
            <w:r>
              <w:rPr>
                <w:b/>
                <w:sz w:val="22"/>
                <w:szCs w:val="22"/>
              </w:rPr>
              <w:t>类别</w:t>
            </w:r>
          </w:p>
        </w:tc>
        <w:tc>
          <w:tcPr>
            <w:tcW w:w="526" w:type="pct"/>
            <w:tcMar>
              <w:top w:w="15" w:type="dxa"/>
              <w:left w:w="108" w:type="dxa"/>
              <w:bottom w:w="0" w:type="dxa"/>
              <w:right w:w="108" w:type="dxa"/>
            </w:tcMar>
            <w:vAlign w:val="center"/>
          </w:tcPr>
          <w:p>
            <w:pPr>
              <w:spacing w:line="300" w:lineRule="exact"/>
              <w:jc w:val="center"/>
              <w:rPr>
                <w:b/>
                <w:sz w:val="22"/>
                <w:szCs w:val="22"/>
              </w:rPr>
            </w:pPr>
            <w:r>
              <w:rPr>
                <w:b/>
                <w:sz w:val="22"/>
                <w:szCs w:val="22"/>
              </w:rPr>
              <w:t>课程</w:t>
            </w:r>
          </w:p>
          <w:p>
            <w:pPr>
              <w:spacing w:line="300" w:lineRule="exact"/>
              <w:jc w:val="center"/>
              <w:rPr>
                <w:b/>
                <w:sz w:val="22"/>
                <w:szCs w:val="22"/>
              </w:rPr>
            </w:pPr>
            <w:r>
              <w:rPr>
                <w:b/>
                <w:sz w:val="22"/>
                <w:szCs w:val="22"/>
              </w:rPr>
              <w:t>类型</w:t>
            </w:r>
          </w:p>
        </w:tc>
        <w:tc>
          <w:tcPr>
            <w:tcW w:w="751" w:type="pct"/>
            <w:tcMar>
              <w:top w:w="15" w:type="dxa"/>
              <w:left w:w="108" w:type="dxa"/>
              <w:bottom w:w="0" w:type="dxa"/>
              <w:right w:w="108" w:type="dxa"/>
            </w:tcMar>
            <w:vAlign w:val="center"/>
          </w:tcPr>
          <w:p>
            <w:pPr>
              <w:spacing w:line="300" w:lineRule="exact"/>
              <w:jc w:val="center"/>
              <w:rPr>
                <w:b/>
                <w:sz w:val="22"/>
                <w:szCs w:val="22"/>
              </w:rPr>
            </w:pPr>
            <w:r>
              <w:rPr>
                <w:b/>
                <w:sz w:val="22"/>
                <w:szCs w:val="22"/>
              </w:rPr>
              <w:t>课程编号</w:t>
            </w:r>
          </w:p>
        </w:tc>
        <w:tc>
          <w:tcPr>
            <w:tcW w:w="832" w:type="pct"/>
            <w:tcMar>
              <w:top w:w="15" w:type="dxa"/>
              <w:left w:w="108" w:type="dxa"/>
              <w:bottom w:w="0" w:type="dxa"/>
              <w:right w:w="108" w:type="dxa"/>
            </w:tcMar>
            <w:vAlign w:val="center"/>
          </w:tcPr>
          <w:p>
            <w:pPr>
              <w:spacing w:line="300" w:lineRule="exact"/>
              <w:jc w:val="center"/>
              <w:rPr>
                <w:b/>
                <w:sz w:val="22"/>
                <w:szCs w:val="22"/>
              </w:rPr>
            </w:pPr>
            <w:r>
              <w:rPr>
                <w:b/>
                <w:sz w:val="22"/>
                <w:szCs w:val="22"/>
              </w:rPr>
              <w:t>课程名称</w:t>
            </w:r>
          </w:p>
        </w:tc>
        <w:tc>
          <w:tcPr>
            <w:tcW w:w="373" w:type="pct"/>
            <w:tcMar>
              <w:top w:w="15" w:type="dxa"/>
              <w:left w:w="108" w:type="dxa"/>
              <w:bottom w:w="0" w:type="dxa"/>
              <w:right w:w="108" w:type="dxa"/>
            </w:tcMar>
            <w:vAlign w:val="center"/>
          </w:tcPr>
          <w:p>
            <w:pPr>
              <w:spacing w:line="300" w:lineRule="exact"/>
              <w:jc w:val="center"/>
              <w:rPr>
                <w:b/>
                <w:sz w:val="22"/>
                <w:szCs w:val="22"/>
              </w:rPr>
            </w:pPr>
            <w:r>
              <w:rPr>
                <w:b/>
                <w:sz w:val="22"/>
                <w:szCs w:val="22"/>
              </w:rPr>
              <w:t>理论</w:t>
            </w:r>
          </w:p>
          <w:p>
            <w:pPr>
              <w:spacing w:line="300" w:lineRule="exact"/>
              <w:jc w:val="center"/>
              <w:rPr>
                <w:b/>
                <w:sz w:val="22"/>
                <w:szCs w:val="22"/>
              </w:rPr>
            </w:pPr>
            <w:r>
              <w:rPr>
                <w:b/>
                <w:sz w:val="22"/>
                <w:szCs w:val="22"/>
              </w:rPr>
              <w:t>学时</w:t>
            </w:r>
          </w:p>
        </w:tc>
        <w:tc>
          <w:tcPr>
            <w:tcW w:w="369" w:type="pct"/>
            <w:tcMar>
              <w:top w:w="15" w:type="dxa"/>
              <w:left w:w="108" w:type="dxa"/>
              <w:bottom w:w="0" w:type="dxa"/>
              <w:right w:w="108" w:type="dxa"/>
            </w:tcMar>
            <w:vAlign w:val="center"/>
          </w:tcPr>
          <w:p>
            <w:pPr>
              <w:spacing w:line="300" w:lineRule="exact"/>
              <w:jc w:val="center"/>
              <w:rPr>
                <w:b/>
                <w:sz w:val="22"/>
                <w:szCs w:val="22"/>
              </w:rPr>
            </w:pPr>
            <w:r>
              <w:rPr>
                <w:b/>
                <w:sz w:val="22"/>
                <w:szCs w:val="22"/>
              </w:rPr>
              <w:t>实验</w:t>
            </w:r>
          </w:p>
          <w:p>
            <w:pPr>
              <w:spacing w:line="300" w:lineRule="exact"/>
              <w:jc w:val="center"/>
              <w:rPr>
                <w:b/>
                <w:sz w:val="22"/>
                <w:szCs w:val="22"/>
              </w:rPr>
            </w:pPr>
            <w:r>
              <w:rPr>
                <w:b/>
                <w:sz w:val="22"/>
                <w:szCs w:val="22"/>
              </w:rPr>
              <w:t>学时</w:t>
            </w:r>
          </w:p>
        </w:tc>
        <w:tc>
          <w:tcPr>
            <w:tcW w:w="274" w:type="pct"/>
            <w:tcMar>
              <w:top w:w="15" w:type="dxa"/>
              <w:left w:w="108" w:type="dxa"/>
              <w:bottom w:w="0" w:type="dxa"/>
              <w:right w:w="108" w:type="dxa"/>
            </w:tcMar>
            <w:vAlign w:val="center"/>
          </w:tcPr>
          <w:p>
            <w:pPr>
              <w:spacing w:line="300" w:lineRule="exact"/>
              <w:jc w:val="center"/>
              <w:rPr>
                <w:b/>
                <w:sz w:val="22"/>
                <w:szCs w:val="22"/>
              </w:rPr>
            </w:pPr>
            <w:r>
              <w:rPr>
                <w:b/>
                <w:sz w:val="22"/>
                <w:szCs w:val="22"/>
              </w:rPr>
              <w:t>学分</w:t>
            </w:r>
          </w:p>
        </w:tc>
        <w:tc>
          <w:tcPr>
            <w:tcW w:w="378" w:type="pct"/>
            <w:tcMar>
              <w:top w:w="15" w:type="dxa"/>
              <w:left w:w="108" w:type="dxa"/>
              <w:bottom w:w="0" w:type="dxa"/>
              <w:right w:w="108" w:type="dxa"/>
            </w:tcMar>
            <w:vAlign w:val="center"/>
          </w:tcPr>
          <w:p>
            <w:pPr>
              <w:spacing w:line="300" w:lineRule="exact"/>
              <w:jc w:val="center"/>
              <w:rPr>
                <w:b/>
                <w:sz w:val="22"/>
                <w:szCs w:val="22"/>
              </w:rPr>
            </w:pPr>
            <w:r>
              <w:rPr>
                <w:b/>
                <w:sz w:val="22"/>
                <w:szCs w:val="22"/>
              </w:rPr>
              <w:t>开课</w:t>
            </w:r>
          </w:p>
          <w:p>
            <w:pPr>
              <w:spacing w:line="300" w:lineRule="exact"/>
              <w:jc w:val="center"/>
              <w:rPr>
                <w:b/>
                <w:sz w:val="22"/>
                <w:szCs w:val="22"/>
              </w:rPr>
            </w:pPr>
            <w:r>
              <w:rPr>
                <w:b/>
                <w:sz w:val="22"/>
                <w:szCs w:val="22"/>
              </w:rPr>
              <w:t>学期</w:t>
            </w:r>
          </w:p>
        </w:tc>
        <w:tc>
          <w:tcPr>
            <w:tcW w:w="507" w:type="pct"/>
            <w:tcMar>
              <w:top w:w="15" w:type="dxa"/>
              <w:left w:w="108" w:type="dxa"/>
              <w:bottom w:w="0" w:type="dxa"/>
              <w:right w:w="108" w:type="dxa"/>
            </w:tcMar>
            <w:vAlign w:val="center"/>
          </w:tcPr>
          <w:p>
            <w:pPr>
              <w:spacing w:line="300" w:lineRule="exact"/>
              <w:jc w:val="center"/>
              <w:rPr>
                <w:b/>
                <w:sz w:val="22"/>
                <w:szCs w:val="22"/>
              </w:rPr>
            </w:pPr>
            <w:r>
              <w:rPr>
                <w:b/>
                <w:sz w:val="22"/>
                <w:szCs w:val="22"/>
              </w:rPr>
              <w:t>开课</w:t>
            </w:r>
          </w:p>
          <w:p>
            <w:pPr>
              <w:spacing w:line="300" w:lineRule="exact"/>
              <w:jc w:val="center"/>
              <w:rPr>
                <w:b/>
                <w:sz w:val="22"/>
                <w:szCs w:val="22"/>
              </w:rPr>
            </w:pPr>
            <w:r>
              <w:rPr>
                <w:b/>
                <w:sz w:val="22"/>
                <w:szCs w:val="22"/>
              </w:rPr>
              <w:t>单位</w:t>
            </w:r>
          </w:p>
        </w:tc>
        <w:tc>
          <w:tcPr>
            <w:tcW w:w="395" w:type="pct"/>
            <w:tcMar>
              <w:top w:w="15" w:type="dxa"/>
              <w:left w:w="108" w:type="dxa"/>
              <w:bottom w:w="0" w:type="dxa"/>
              <w:right w:w="108" w:type="dxa"/>
            </w:tcMar>
            <w:vAlign w:val="center"/>
          </w:tcPr>
          <w:p>
            <w:pPr>
              <w:spacing w:line="300" w:lineRule="exact"/>
              <w:jc w:val="center"/>
              <w:rPr>
                <w:b/>
                <w:sz w:val="22"/>
                <w:szCs w:val="22"/>
              </w:rPr>
            </w:pPr>
            <w:r>
              <w:rPr>
                <w:b/>
                <w:sz w:val="22"/>
                <w:szCs w:val="22"/>
              </w:rPr>
              <w:t>备注</w:t>
            </w: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12" w:hRule="atLeast"/>
          <w:jc w:val="center"/>
        </w:trPr>
        <w:tc>
          <w:tcPr>
            <w:tcW w:w="594" w:type="pct"/>
            <w:vMerge w:val="restart"/>
            <w:tcMar>
              <w:top w:w="15" w:type="dxa"/>
              <w:left w:w="108" w:type="dxa"/>
              <w:bottom w:w="0" w:type="dxa"/>
              <w:right w:w="108" w:type="dxa"/>
            </w:tcMar>
            <w:vAlign w:val="center"/>
          </w:tcPr>
          <w:p>
            <w:pPr>
              <w:spacing w:line="300" w:lineRule="exact"/>
              <w:jc w:val="center"/>
              <w:rPr>
                <w:bCs/>
                <w:sz w:val="22"/>
                <w:szCs w:val="22"/>
              </w:rPr>
            </w:pPr>
            <w:r>
              <w:rPr>
                <w:bCs/>
                <w:sz w:val="22"/>
                <w:szCs w:val="22"/>
              </w:rPr>
              <w:t>公共</w:t>
            </w:r>
          </w:p>
          <w:p>
            <w:pPr>
              <w:spacing w:line="300" w:lineRule="exact"/>
              <w:jc w:val="center"/>
              <w:rPr>
                <w:bCs/>
                <w:sz w:val="22"/>
                <w:szCs w:val="22"/>
              </w:rPr>
            </w:pPr>
            <w:r>
              <w:rPr>
                <w:bCs/>
                <w:sz w:val="22"/>
                <w:szCs w:val="22"/>
              </w:rPr>
              <w:t>学位课</w:t>
            </w:r>
          </w:p>
          <w:p>
            <w:pPr>
              <w:spacing w:line="300" w:lineRule="exact"/>
              <w:jc w:val="center"/>
              <w:rPr>
                <w:bCs/>
                <w:sz w:val="22"/>
                <w:szCs w:val="22"/>
              </w:rPr>
            </w:pPr>
            <w:r>
              <w:rPr>
                <w:bCs/>
                <w:sz w:val="22"/>
                <w:szCs w:val="22"/>
              </w:rPr>
              <w:t>（7学分）</w:t>
            </w:r>
          </w:p>
        </w:tc>
        <w:tc>
          <w:tcPr>
            <w:tcW w:w="526" w:type="pct"/>
            <w:vMerge w:val="restart"/>
            <w:tcMar>
              <w:top w:w="15" w:type="dxa"/>
              <w:left w:w="108" w:type="dxa"/>
              <w:bottom w:w="0" w:type="dxa"/>
              <w:right w:w="108" w:type="dxa"/>
            </w:tcMar>
            <w:vAlign w:val="center"/>
          </w:tcPr>
          <w:p>
            <w:pPr>
              <w:spacing w:line="300" w:lineRule="exact"/>
              <w:jc w:val="center"/>
              <w:rPr>
                <w:bCs/>
                <w:sz w:val="22"/>
                <w:szCs w:val="22"/>
              </w:rPr>
            </w:pPr>
            <w:r>
              <w:rPr>
                <w:bCs/>
                <w:sz w:val="22"/>
                <w:szCs w:val="22"/>
              </w:rPr>
              <w:t>外语（4学分）</w:t>
            </w: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01821041-</w:t>
            </w:r>
          </w:p>
          <w:p>
            <w:pPr>
              <w:spacing w:line="300" w:lineRule="exact"/>
              <w:jc w:val="center"/>
              <w:rPr>
                <w:bCs/>
                <w:sz w:val="22"/>
                <w:szCs w:val="22"/>
              </w:rPr>
            </w:pPr>
            <w:r>
              <w:rPr>
                <w:bCs/>
                <w:sz w:val="22"/>
                <w:szCs w:val="22"/>
              </w:rPr>
              <w:t>045</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第二外国语（英、日、法、德、俄语）上</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1</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12" w:hRule="atLeast"/>
          <w:jc w:val="center"/>
        </w:trPr>
        <w:tc>
          <w:tcPr>
            <w:tcW w:w="594" w:type="pct"/>
            <w:vMerge w:val="continue"/>
            <w:tcMar>
              <w:top w:w="15" w:type="dxa"/>
              <w:left w:w="108" w:type="dxa"/>
              <w:bottom w:w="0" w:type="dxa"/>
              <w:right w:w="108" w:type="dxa"/>
            </w:tcMar>
            <w:vAlign w:val="center"/>
          </w:tcPr>
          <w:p>
            <w:pPr>
              <w:spacing w:line="300" w:lineRule="exact"/>
              <w:jc w:val="center"/>
              <w:rPr>
                <w:bCs/>
                <w:sz w:val="22"/>
                <w:szCs w:val="22"/>
              </w:rPr>
            </w:pPr>
          </w:p>
        </w:tc>
        <w:tc>
          <w:tcPr>
            <w:tcW w:w="526" w:type="pct"/>
            <w:vMerge w:val="continue"/>
            <w:tcMar>
              <w:top w:w="15" w:type="dxa"/>
              <w:left w:w="108" w:type="dxa"/>
              <w:bottom w:w="0" w:type="dxa"/>
              <w:right w:w="108" w:type="dxa"/>
            </w:tcMar>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01821046-</w:t>
            </w:r>
          </w:p>
          <w:p>
            <w:pPr>
              <w:spacing w:line="300" w:lineRule="exact"/>
              <w:jc w:val="center"/>
              <w:rPr>
                <w:bCs/>
                <w:sz w:val="22"/>
                <w:szCs w:val="22"/>
              </w:rPr>
            </w:pPr>
            <w:r>
              <w:rPr>
                <w:bCs/>
                <w:sz w:val="22"/>
                <w:szCs w:val="22"/>
              </w:rPr>
              <w:t>050</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第二外国语（英、日、法、德、俄语）下</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7" w:hRule="atLeast"/>
          <w:jc w:val="center"/>
        </w:trPr>
        <w:tc>
          <w:tcPr>
            <w:tcW w:w="594" w:type="pct"/>
            <w:vMerge w:val="continue"/>
            <w:vAlign w:val="center"/>
          </w:tcPr>
          <w:p>
            <w:pPr>
              <w:spacing w:line="300" w:lineRule="exact"/>
              <w:jc w:val="center"/>
              <w:rPr>
                <w:bCs/>
                <w:sz w:val="22"/>
                <w:szCs w:val="22"/>
              </w:rPr>
            </w:pPr>
          </w:p>
        </w:tc>
        <w:tc>
          <w:tcPr>
            <w:tcW w:w="526" w:type="pct"/>
            <w:vMerge w:val="restart"/>
            <w:tcMar>
              <w:top w:w="15" w:type="dxa"/>
              <w:left w:w="108" w:type="dxa"/>
              <w:bottom w:w="0" w:type="dxa"/>
              <w:right w:w="108" w:type="dxa"/>
            </w:tcMar>
            <w:vAlign w:val="center"/>
          </w:tcPr>
          <w:p>
            <w:pPr>
              <w:spacing w:line="300" w:lineRule="exact"/>
              <w:jc w:val="center"/>
              <w:rPr>
                <w:bCs/>
                <w:sz w:val="22"/>
                <w:szCs w:val="22"/>
              </w:rPr>
            </w:pPr>
            <w:r>
              <w:rPr>
                <w:bCs/>
                <w:sz w:val="22"/>
                <w:szCs w:val="22"/>
              </w:rPr>
              <w:t>思政</w:t>
            </w:r>
          </w:p>
          <w:p>
            <w:pPr>
              <w:spacing w:line="300" w:lineRule="exact"/>
              <w:jc w:val="center"/>
              <w:rPr>
                <w:bCs/>
                <w:sz w:val="22"/>
                <w:szCs w:val="22"/>
              </w:rPr>
            </w:pPr>
            <w:r>
              <w:rPr>
                <w:bCs/>
                <w:sz w:val="22"/>
                <w:szCs w:val="22"/>
              </w:rPr>
              <w:t>（3学分）</w:t>
            </w: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02121103</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新时代中国特色社会主义理论与实践</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1</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马克思主义学院</w:t>
            </w:r>
          </w:p>
        </w:tc>
        <w:tc>
          <w:tcPr>
            <w:tcW w:w="395" w:type="pct"/>
            <w:vMerge w:val="restart"/>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225"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02121101</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马克思主义与社会科学方法论</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18</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1</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1</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马克思主义学院</w:t>
            </w:r>
          </w:p>
        </w:tc>
        <w:tc>
          <w:tcPr>
            <w:tcW w:w="395" w:type="pct"/>
            <w:vMerge w:val="continue"/>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PrEx>
        <w:trPr>
          <w:trHeight w:val="2386" w:hRule="atLeast"/>
          <w:jc w:val="center"/>
        </w:trPr>
        <w:tc>
          <w:tcPr>
            <w:tcW w:w="1120" w:type="pct"/>
            <w:gridSpan w:val="2"/>
            <w:vMerge w:val="restart"/>
            <w:tcMar>
              <w:top w:w="15" w:type="dxa"/>
              <w:left w:w="108" w:type="dxa"/>
              <w:bottom w:w="0" w:type="dxa"/>
              <w:right w:w="108" w:type="dxa"/>
            </w:tcMar>
            <w:vAlign w:val="center"/>
          </w:tcPr>
          <w:p>
            <w:pPr>
              <w:spacing w:line="300" w:lineRule="exact"/>
              <w:jc w:val="center"/>
              <w:rPr>
                <w:bCs/>
                <w:sz w:val="22"/>
                <w:szCs w:val="22"/>
              </w:rPr>
            </w:pPr>
            <w:r>
              <w:rPr>
                <w:bCs/>
                <w:sz w:val="22"/>
                <w:szCs w:val="22"/>
              </w:rPr>
              <w:t>专业</w:t>
            </w:r>
          </w:p>
          <w:p>
            <w:pPr>
              <w:spacing w:line="300" w:lineRule="exact"/>
              <w:jc w:val="center"/>
              <w:rPr>
                <w:bCs/>
                <w:sz w:val="22"/>
                <w:szCs w:val="22"/>
              </w:rPr>
            </w:pPr>
            <w:r>
              <w:rPr>
                <w:bCs/>
                <w:sz w:val="22"/>
                <w:szCs w:val="22"/>
              </w:rPr>
              <w:t>学位课</w:t>
            </w:r>
          </w:p>
          <w:p>
            <w:pPr>
              <w:spacing w:line="300" w:lineRule="exact"/>
              <w:jc w:val="center"/>
              <w:rPr>
                <w:bCs/>
                <w:sz w:val="22"/>
                <w:szCs w:val="22"/>
              </w:rPr>
            </w:pPr>
            <w:r>
              <w:rPr>
                <w:bCs/>
                <w:sz w:val="22"/>
                <w:szCs w:val="22"/>
              </w:rPr>
              <w:t>（12学分）</w:t>
            </w: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01821007</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二十一世纪西方文学批评理论</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54</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3</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tcMar>
              <w:top w:w="15" w:type="dxa"/>
              <w:left w:w="108" w:type="dxa"/>
              <w:bottom w:w="0" w:type="dxa"/>
              <w:right w:w="108" w:type="dxa"/>
            </w:tcMar>
            <w:vAlign w:val="center"/>
          </w:tcPr>
          <w:p>
            <w:pPr>
              <w:spacing w:line="300" w:lineRule="exact"/>
              <w:jc w:val="center"/>
              <w:rPr>
                <w:bCs/>
                <w:sz w:val="22"/>
                <w:szCs w:val="22"/>
              </w:rPr>
            </w:pPr>
            <w:r>
              <w:rPr>
                <w:bCs/>
                <w:sz w:val="22"/>
                <w:szCs w:val="22"/>
              </w:rPr>
              <w:t>英、法、日语语言文学方向必选</w:t>
            </w: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76"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sz w:val="22"/>
                <w:szCs w:val="22"/>
              </w:rPr>
              <w:t>01821072</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普通语言学</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54</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3</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1</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tcMar>
              <w:top w:w="15" w:type="dxa"/>
              <w:left w:w="108" w:type="dxa"/>
              <w:bottom w:w="0" w:type="dxa"/>
              <w:right w:w="108" w:type="dxa"/>
            </w:tcMar>
            <w:vAlign w:val="center"/>
          </w:tcPr>
          <w:p>
            <w:pPr>
              <w:spacing w:line="300" w:lineRule="exact"/>
              <w:jc w:val="center"/>
              <w:rPr>
                <w:bCs/>
                <w:sz w:val="22"/>
                <w:szCs w:val="22"/>
              </w:rPr>
            </w:pPr>
            <w:r>
              <w:rPr>
                <w:bCs/>
                <w:sz w:val="22"/>
                <w:szCs w:val="22"/>
              </w:rPr>
              <w:t>英语语言文学、语言学方向必选</w:t>
            </w: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5"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01821020</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日语语言学</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1</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restart"/>
            <w:tcMar>
              <w:top w:w="15" w:type="dxa"/>
              <w:left w:w="108" w:type="dxa"/>
              <w:bottom w:w="0" w:type="dxa"/>
              <w:right w:w="108" w:type="dxa"/>
            </w:tcMar>
            <w:vAlign w:val="center"/>
          </w:tcPr>
          <w:p>
            <w:pPr>
              <w:spacing w:line="300" w:lineRule="exact"/>
              <w:jc w:val="center"/>
              <w:rPr>
                <w:bCs/>
                <w:sz w:val="22"/>
                <w:szCs w:val="22"/>
              </w:rPr>
            </w:pPr>
            <w:r>
              <w:rPr>
                <w:bCs/>
                <w:sz w:val="22"/>
                <w:szCs w:val="22"/>
              </w:rPr>
              <w:t>日语语言文学方向</w:t>
            </w:r>
          </w:p>
          <w:p>
            <w:pPr>
              <w:spacing w:line="300" w:lineRule="exact"/>
              <w:jc w:val="center"/>
              <w:rPr>
                <w:bCs/>
                <w:sz w:val="22"/>
                <w:szCs w:val="22"/>
              </w:rPr>
            </w:pPr>
            <w:r>
              <w:rPr>
                <w:bCs/>
                <w:sz w:val="22"/>
                <w:szCs w:val="22"/>
              </w:rPr>
              <w:t>必选</w:t>
            </w: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5"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01821021</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日本近现代文学研究</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1</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5"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01822041</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日本文化专题研究</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1</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5"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01821051</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日本教育专题研究</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5"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01821052</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日语科技概论</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01821053</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法国文学史</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1</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restart"/>
            <w:tcMar>
              <w:top w:w="15" w:type="dxa"/>
              <w:left w:w="108" w:type="dxa"/>
              <w:bottom w:w="0" w:type="dxa"/>
              <w:right w:w="108" w:type="dxa"/>
            </w:tcMar>
            <w:vAlign w:val="center"/>
          </w:tcPr>
          <w:p>
            <w:pPr>
              <w:spacing w:line="300" w:lineRule="exact"/>
              <w:jc w:val="center"/>
              <w:rPr>
                <w:bCs/>
                <w:sz w:val="22"/>
                <w:szCs w:val="22"/>
              </w:rPr>
            </w:pPr>
            <w:r>
              <w:rPr>
                <w:bCs/>
                <w:sz w:val="22"/>
                <w:szCs w:val="22"/>
              </w:rPr>
              <w:t>法语语言文学方向</w:t>
            </w:r>
          </w:p>
          <w:p>
            <w:pPr>
              <w:spacing w:line="300" w:lineRule="exact"/>
              <w:jc w:val="center"/>
              <w:rPr>
                <w:bCs/>
                <w:sz w:val="22"/>
                <w:szCs w:val="22"/>
              </w:rPr>
            </w:pPr>
            <w:r>
              <w:rPr>
                <w:bCs/>
                <w:sz w:val="22"/>
                <w:szCs w:val="22"/>
              </w:rPr>
              <w:t>必选</w:t>
            </w: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5"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01821073</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lang w:val="fr-FR"/>
              </w:rPr>
              <w:t>法语语言学</w:t>
            </w:r>
            <w:r>
              <w:rPr>
                <w:bCs/>
                <w:sz w:val="22"/>
                <w:szCs w:val="22"/>
              </w:rPr>
              <w:t>导论</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1</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5"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01821074</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lang w:val="fr-FR"/>
              </w:rPr>
              <w:t>认知语言学</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5"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01821075</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法国时政专题研究</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5"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01821076</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非洲法语国家专题研究</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4"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01821005</w:t>
            </w:r>
          </w:p>
        </w:tc>
        <w:tc>
          <w:tcPr>
            <w:tcW w:w="832"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美国文学作品导读</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1</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restart"/>
            <w:tcMar>
              <w:top w:w="15" w:type="dxa"/>
              <w:left w:w="108" w:type="dxa"/>
              <w:bottom w:w="0" w:type="dxa"/>
              <w:right w:w="108" w:type="dxa"/>
            </w:tcMar>
            <w:vAlign w:val="center"/>
          </w:tcPr>
          <w:p>
            <w:pPr>
              <w:spacing w:line="300" w:lineRule="exact"/>
              <w:jc w:val="center"/>
              <w:rPr>
                <w:bCs/>
                <w:sz w:val="22"/>
                <w:szCs w:val="22"/>
              </w:rPr>
            </w:pPr>
            <w:r>
              <w:rPr>
                <w:bCs/>
                <w:sz w:val="22"/>
                <w:szCs w:val="22"/>
              </w:rPr>
              <w:t>英语语言文学方向</w:t>
            </w:r>
          </w:p>
          <w:p>
            <w:pPr>
              <w:spacing w:line="300" w:lineRule="exact"/>
              <w:jc w:val="center"/>
              <w:rPr>
                <w:bCs/>
                <w:sz w:val="22"/>
                <w:szCs w:val="22"/>
              </w:rPr>
            </w:pPr>
            <w:r>
              <w:rPr>
                <w:bCs/>
                <w:sz w:val="22"/>
                <w:szCs w:val="22"/>
              </w:rPr>
              <w:t>必选</w:t>
            </w: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3"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01821006</w:t>
            </w:r>
          </w:p>
        </w:tc>
        <w:tc>
          <w:tcPr>
            <w:tcW w:w="832"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英国文学作品导读</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9"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01821009</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文学翻译</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5"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01821015</w:t>
            </w:r>
          </w:p>
        </w:tc>
        <w:tc>
          <w:tcPr>
            <w:tcW w:w="832" w:type="pct"/>
            <w:tcMar>
              <w:top w:w="15" w:type="dxa"/>
              <w:left w:w="108" w:type="dxa"/>
              <w:bottom w:w="0" w:type="dxa"/>
              <w:right w:w="108" w:type="dxa"/>
            </w:tcMar>
            <w:vAlign w:val="center"/>
          </w:tcPr>
          <w:p>
            <w:pPr>
              <w:spacing w:line="300" w:lineRule="exact"/>
              <w:jc w:val="center"/>
              <w:rPr>
                <w:bCs/>
                <w:kern w:val="0"/>
                <w:sz w:val="22"/>
                <w:szCs w:val="22"/>
              </w:rPr>
            </w:pPr>
            <w:r>
              <w:rPr>
                <w:bCs/>
                <w:kern w:val="0"/>
                <w:sz w:val="22"/>
                <w:szCs w:val="22"/>
              </w:rPr>
              <w:t>翻译理论与实践</w:t>
            </w:r>
          </w:p>
        </w:tc>
        <w:tc>
          <w:tcPr>
            <w:tcW w:w="373" w:type="pct"/>
            <w:tcMar>
              <w:top w:w="15" w:type="dxa"/>
              <w:left w:w="108" w:type="dxa"/>
              <w:bottom w:w="0" w:type="dxa"/>
              <w:right w:w="108" w:type="dxa"/>
            </w:tcMar>
            <w:vAlign w:val="center"/>
          </w:tcPr>
          <w:p>
            <w:pPr>
              <w:spacing w:line="300" w:lineRule="exact"/>
              <w:jc w:val="center"/>
              <w:rPr>
                <w:bCs/>
                <w:kern w:val="0"/>
                <w:sz w:val="22"/>
                <w:szCs w:val="22"/>
              </w:rPr>
            </w:pPr>
            <w:r>
              <w:rPr>
                <w:bCs/>
                <w:kern w:val="0"/>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kern w:val="0"/>
                <w:sz w:val="22"/>
                <w:szCs w:val="22"/>
              </w:rPr>
            </w:pPr>
            <w:r>
              <w:rPr>
                <w:bCs/>
                <w:kern w:val="0"/>
                <w:sz w:val="22"/>
                <w:szCs w:val="22"/>
              </w:rPr>
              <w:t>2</w:t>
            </w:r>
          </w:p>
        </w:tc>
        <w:tc>
          <w:tcPr>
            <w:tcW w:w="378" w:type="pct"/>
            <w:tcMar>
              <w:top w:w="15" w:type="dxa"/>
              <w:left w:w="108" w:type="dxa"/>
              <w:bottom w:w="0" w:type="dxa"/>
              <w:right w:w="108" w:type="dxa"/>
            </w:tcMar>
            <w:vAlign w:val="center"/>
          </w:tcPr>
          <w:p>
            <w:pPr>
              <w:spacing w:line="300" w:lineRule="exact"/>
              <w:jc w:val="center"/>
              <w:rPr>
                <w:bCs/>
                <w:kern w:val="0"/>
                <w:sz w:val="22"/>
                <w:szCs w:val="22"/>
              </w:rPr>
            </w:pPr>
            <w:r>
              <w:rPr>
                <w:bCs/>
                <w:kern w:val="0"/>
                <w:sz w:val="22"/>
                <w:szCs w:val="22"/>
              </w:rPr>
              <w:t>1</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restart"/>
            <w:tcMar>
              <w:top w:w="15" w:type="dxa"/>
              <w:left w:w="108" w:type="dxa"/>
              <w:bottom w:w="0" w:type="dxa"/>
              <w:right w:w="108" w:type="dxa"/>
            </w:tcMar>
            <w:vAlign w:val="center"/>
          </w:tcPr>
          <w:p>
            <w:pPr>
              <w:spacing w:line="300" w:lineRule="exact"/>
              <w:jc w:val="center"/>
              <w:rPr>
                <w:bCs/>
                <w:sz w:val="22"/>
                <w:szCs w:val="22"/>
              </w:rPr>
            </w:pPr>
            <w:r>
              <w:rPr>
                <w:bCs/>
                <w:sz w:val="22"/>
                <w:szCs w:val="22"/>
              </w:rPr>
              <w:t>语言学方向必选</w:t>
            </w: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5"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01821013</w:t>
            </w:r>
          </w:p>
        </w:tc>
        <w:tc>
          <w:tcPr>
            <w:tcW w:w="832"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语言与文化</w:t>
            </w:r>
          </w:p>
        </w:tc>
        <w:tc>
          <w:tcPr>
            <w:tcW w:w="373"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5"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01821012</w:t>
            </w:r>
          </w:p>
        </w:tc>
        <w:tc>
          <w:tcPr>
            <w:tcW w:w="832"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社会语言学</w:t>
            </w:r>
          </w:p>
        </w:tc>
        <w:tc>
          <w:tcPr>
            <w:tcW w:w="373"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54</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3</w:t>
            </w:r>
          </w:p>
        </w:tc>
        <w:tc>
          <w:tcPr>
            <w:tcW w:w="378"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5"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01821014</w:t>
            </w:r>
          </w:p>
        </w:tc>
        <w:tc>
          <w:tcPr>
            <w:tcW w:w="832"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语义学</w:t>
            </w:r>
          </w:p>
        </w:tc>
        <w:tc>
          <w:tcPr>
            <w:tcW w:w="373"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4</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restart"/>
            <w:vAlign w:val="center"/>
          </w:tcPr>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r>
              <w:rPr>
                <w:bCs/>
                <w:sz w:val="22"/>
                <w:szCs w:val="22"/>
              </w:rPr>
              <w:t>选修课</w:t>
            </w:r>
          </w:p>
          <w:p>
            <w:pPr>
              <w:spacing w:line="300" w:lineRule="exact"/>
              <w:jc w:val="center"/>
              <w:rPr>
                <w:bCs/>
                <w:sz w:val="22"/>
                <w:szCs w:val="22"/>
              </w:rPr>
            </w:pPr>
            <w:r>
              <w:rPr>
                <w:bCs/>
                <w:sz w:val="22"/>
                <w:szCs w:val="22"/>
              </w:rPr>
              <w:t>（9学分）</w:t>
            </w: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r>
              <w:rPr>
                <w:bCs/>
                <w:sz w:val="22"/>
                <w:szCs w:val="22"/>
              </w:rPr>
              <w:t>选修课</w:t>
            </w:r>
          </w:p>
          <w:p>
            <w:pPr>
              <w:spacing w:line="300" w:lineRule="exact"/>
              <w:jc w:val="center"/>
              <w:rPr>
                <w:bCs/>
                <w:sz w:val="22"/>
                <w:szCs w:val="22"/>
              </w:rPr>
            </w:pPr>
            <w:r>
              <w:rPr>
                <w:bCs/>
                <w:sz w:val="22"/>
                <w:szCs w:val="22"/>
              </w:rPr>
              <w:t>（9学分）</w:t>
            </w:r>
          </w:p>
          <w:p>
            <w:pPr>
              <w:spacing w:line="300" w:lineRule="exact"/>
              <w:jc w:val="center"/>
              <w:rPr>
                <w:bCs/>
                <w:sz w:val="22"/>
                <w:szCs w:val="22"/>
              </w:rPr>
            </w:pPr>
          </w:p>
        </w:tc>
        <w:tc>
          <w:tcPr>
            <w:tcW w:w="526" w:type="pct"/>
            <w:vMerge w:val="restart"/>
            <w:vAlign w:val="center"/>
          </w:tcPr>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r>
              <w:rPr>
                <w:bCs/>
                <w:sz w:val="22"/>
                <w:szCs w:val="22"/>
              </w:rPr>
              <w:t>专业</w:t>
            </w:r>
          </w:p>
          <w:p>
            <w:pPr>
              <w:spacing w:line="300" w:lineRule="exact"/>
              <w:jc w:val="center"/>
              <w:rPr>
                <w:bCs/>
                <w:sz w:val="22"/>
                <w:szCs w:val="22"/>
              </w:rPr>
            </w:pPr>
            <w:r>
              <w:rPr>
                <w:bCs/>
                <w:sz w:val="22"/>
                <w:szCs w:val="22"/>
              </w:rPr>
              <w:t>选修课</w:t>
            </w:r>
          </w:p>
          <w:p>
            <w:pPr>
              <w:spacing w:line="300" w:lineRule="exact"/>
              <w:jc w:val="center"/>
              <w:rPr>
                <w:bCs/>
                <w:sz w:val="22"/>
                <w:szCs w:val="22"/>
              </w:rPr>
            </w:pPr>
            <w:r>
              <w:rPr>
                <w:bCs/>
                <w:sz w:val="22"/>
                <w:szCs w:val="22"/>
              </w:rPr>
              <w:t>（8学分）</w:t>
            </w: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p>
          <w:p>
            <w:pPr>
              <w:spacing w:line="300" w:lineRule="exact"/>
              <w:jc w:val="center"/>
              <w:rPr>
                <w:bCs/>
                <w:sz w:val="22"/>
                <w:szCs w:val="22"/>
              </w:rPr>
            </w:pPr>
            <w:r>
              <w:rPr>
                <w:bCs/>
                <w:sz w:val="22"/>
                <w:szCs w:val="22"/>
              </w:rPr>
              <w:t>专业</w:t>
            </w:r>
          </w:p>
          <w:p>
            <w:pPr>
              <w:spacing w:line="300" w:lineRule="exact"/>
              <w:jc w:val="center"/>
              <w:rPr>
                <w:bCs/>
                <w:sz w:val="22"/>
                <w:szCs w:val="22"/>
              </w:rPr>
            </w:pPr>
            <w:r>
              <w:rPr>
                <w:bCs/>
                <w:sz w:val="22"/>
                <w:szCs w:val="22"/>
              </w:rPr>
              <w:t>选修课</w:t>
            </w:r>
          </w:p>
          <w:p>
            <w:pPr>
              <w:spacing w:line="300" w:lineRule="exact"/>
              <w:jc w:val="center"/>
              <w:rPr>
                <w:bCs/>
                <w:sz w:val="22"/>
                <w:szCs w:val="22"/>
              </w:rPr>
            </w:pPr>
            <w:r>
              <w:rPr>
                <w:bCs/>
                <w:sz w:val="22"/>
                <w:szCs w:val="22"/>
              </w:rPr>
              <w:t>（8学分）</w:t>
            </w:r>
          </w:p>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01822043</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文学概论</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restart"/>
            <w:tcMar>
              <w:top w:w="15" w:type="dxa"/>
              <w:left w:w="108" w:type="dxa"/>
              <w:bottom w:w="0" w:type="dxa"/>
              <w:right w:w="108" w:type="dxa"/>
            </w:tcMar>
            <w:vAlign w:val="center"/>
          </w:tcPr>
          <w:p>
            <w:pPr>
              <w:spacing w:line="300" w:lineRule="exact"/>
              <w:jc w:val="center"/>
              <w:rPr>
                <w:bCs/>
                <w:sz w:val="22"/>
                <w:szCs w:val="22"/>
              </w:rPr>
            </w:pPr>
            <w:r>
              <w:rPr>
                <w:bCs/>
                <w:sz w:val="22"/>
                <w:szCs w:val="22"/>
              </w:rPr>
              <w:t>日语语言文学方向</w:t>
            </w:r>
          </w:p>
          <w:p>
            <w:pPr>
              <w:spacing w:line="300" w:lineRule="exact"/>
              <w:jc w:val="center"/>
              <w:rPr>
                <w:bCs/>
                <w:sz w:val="22"/>
                <w:szCs w:val="22"/>
              </w:rPr>
            </w:pPr>
            <w:r>
              <w:rPr>
                <w:bCs/>
                <w:sz w:val="22"/>
                <w:szCs w:val="22"/>
              </w:rPr>
              <w:t>选修</w:t>
            </w: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01822045</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研究方法与论文写作（必选）</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01822050</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日语语用学</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01822053</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国别与区域研究专题</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01821019</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法语教学法</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1</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restart"/>
            <w:tcMar>
              <w:top w:w="15" w:type="dxa"/>
              <w:left w:w="108" w:type="dxa"/>
              <w:bottom w:w="0" w:type="dxa"/>
              <w:right w:w="108" w:type="dxa"/>
            </w:tcMar>
            <w:vAlign w:val="center"/>
          </w:tcPr>
          <w:p>
            <w:pPr>
              <w:spacing w:line="300" w:lineRule="exact"/>
              <w:jc w:val="center"/>
              <w:rPr>
                <w:bCs/>
                <w:sz w:val="22"/>
                <w:szCs w:val="22"/>
              </w:rPr>
            </w:pPr>
            <w:r>
              <w:rPr>
                <w:bCs/>
                <w:sz w:val="22"/>
                <w:szCs w:val="22"/>
              </w:rPr>
              <w:t>法语语言文学方向</w:t>
            </w:r>
          </w:p>
          <w:p>
            <w:pPr>
              <w:spacing w:line="300" w:lineRule="exact"/>
              <w:jc w:val="center"/>
              <w:rPr>
                <w:bCs/>
                <w:sz w:val="22"/>
                <w:szCs w:val="22"/>
              </w:rPr>
            </w:pPr>
            <w:r>
              <w:rPr>
                <w:bCs/>
                <w:sz w:val="22"/>
                <w:szCs w:val="22"/>
              </w:rPr>
              <w:t>选修</w:t>
            </w: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01822035</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当代法国翻译理论</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01822048</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法语文</w:t>
            </w:r>
            <w:r>
              <w:rPr>
                <w:sz w:val="22"/>
                <w:szCs w:val="22"/>
              </w:rPr>
              <w:t>学选读及文本分析</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01822054</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跨文化交际学</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01822034</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中西文化比较</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01822055</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非洲法语文学</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01822056</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法国现代文学</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01822006</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英语教学法</w:t>
            </w:r>
          </w:p>
        </w:tc>
        <w:tc>
          <w:tcPr>
            <w:tcW w:w="373"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restart"/>
            <w:tcMar>
              <w:top w:w="15" w:type="dxa"/>
              <w:left w:w="108" w:type="dxa"/>
              <w:bottom w:w="0" w:type="dxa"/>
              <w:right w:w="108" w:type="dxa"/>
            </w:tcMar>
            <w:vAlign w:val="center"/>
          </w:tcPr>
          <w:p>
            <w:pPr>
              <w:spacing w:line="300" w:lineRule="exact"/>
              <w:jc w:val="center"/>
              <w:rPr>
                <w:bCs/>
                <w:sz w:val="22"/>
                <w:szCs w:val="22"/>
              </w:rPr>
            </w:pPr>
            <w:r>
              <w:rPr>
                <w:bCs/>
                <w:sz w:val="22"/>
                <w:szCs w:val="22"/>
              </w:rPr>
              <w:t>其他方向选修</w:t>
            </w: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01822026</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语料库语言学</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01822009</w:t>
            </w:r>
          </w:p>
        </w:tc>
        <w:tc>
          <w:tcPr>
            <w:tcW w:w="832" w:type="pct"/>
            <w:tcMar>
              <w:top w:w="15" w:type="dxa"/>
              <w:left w:w="108" w:type="dxa"/>
              <w:bottom w:w="0" w:type="dxa"/>
              <w:right w:w="108" w:type="dxa"/>
            </w:tcMar>
            <w:vAlign w:val="center"/>
          </w:tcPr>
          <w:p>
            <w:pPr>
              <w:spacing w:line="300" w:lineRule="exact"/>
              <w:ind w:right="-67" w:rightChars="-32"/>
              <w:jc w:val="center"/>
              <w:rPr>
                <w:bCs/>
                <w:sz w:val="22"/>
                <w:szCs w:val="22"/>
              </w:rPr>
            </w:pPr>
            <w:r>
              <w:rPr>
                <w:bCs/>
                <w:sz w:val="22"/>
                <w:szCs w:val="22"/>
              </w:rPr>
              <w:t>英语学术论文写作</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4</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01822002</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翻译理论与实践</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1</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01822007</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英美戏剧赏析</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01822051</w:t>
            </w:r>
          </w:p>
        </w:tc>
        <w:tc>
          <w:tcPr>
            <w:tcW w:w="832"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比较文学</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01822003</w:t>
            </w:r>
          </w:p>
        </w:tc>
        <w:tc>
          <w:tcPr>
            <w:tcW w:w="832"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语言与文化</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01822008</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英美短篇小说选读</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01822012</w:t>
            </w:r>
          </w:p>
        </w:tc>
        <w:tc>
          <w:tcPr>
            <w:tcW w:w="832" w:type="pct"/>
            <w:tcMar>
              <w:top w:w="15" w:type="dxa"/>
              <w:left w:w="108" w:type="dxa"/>
              <w:bottom w:w="0" w:type="dxa"/>
              <w:right w:w="108" w:type="dxa"/>
            </w:tcMar>
            <w:vAlign w:val="center"/>
          </w:tcPr>
          <w:p>
            <w:pPr>
              <w:spacing w:line="300" w:lineRule="exact"/>
              <w:jc w:val="center"/>
              <w:rPr>
                <w:bCs/>
                <w:sz w:val="22"/>
                <w:szCs w:val="22"/>
              </w:rPr>
            </w:pPr>
            <w:r>
              <w:rPr>
                <w:bCs/>
                <w:sz w:val="22"/>
                <w:szCs w:val="22"/>
              </w:rPr>
              <w:t>文学研究方法（文学方向必选）</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01822010</w:t>
            </w:r>
          </w:p>
        </w:tc>
        <w:tc>
          <w:tcPr>
            <w:tcW w:w="832" w:type="pct"/>
            <w:tcMar>
              <w:top w:w="15" w:type="dxa"/>
              <w:left w:w="108" w:type="dxa"/>
              <w:bottom w:w="0" w:type="dxa"/>
              <w:right w:w="108" w:type="dxa"/>
            </w:tcMar>
            <w:vAlign w:val="center"/>
          </w:tcPr>
          <w:p>
            <w:pPr>
              <w:spacing w:line="300" w:lineRule="exact"/>
              <w:ind w:right="-67" w:rightChars="-32"/>
              <w:jc w:val="center"/>
              <w:rPr>
                <w:bCs/>
                <w:sz w:val="22"/>
                <w:szCs w:val="22"/>
              </w:rPr>
            </w:pPr>
            <w:r>
              <w:rPr>
                <w:bCs/>
                <w:sz w:val="22"/>
                <w:szCs w:val="22"/>
              </w:rPr>
              <w:t>英美诗歌赏析</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4</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01822011</w:t>
            </w:r>
          </w:p>
        </w:tc>
        <w:tc>
          <w:tcPr>
            <w:tcW w:w="832" w:type="pct"/>
            <w:tcMar>
              <w:top w:w="15" w:type="dxa"/>
              <w:left w:w="108" w:type="dxa"/>
              <w:bottom w:w="0" w:type="dxa"/>
              <w:right w:w="108" w:type="dxa"/>
            </w:tcMar>
            <w:vAlign w:val="center"/>
          </w:tcPr>
          <w:p>
            <w:pPr>
              <w:spacing w:line="300" w:lineRule="exact"/>
              <w:ind w:right="-67" w:rightChars="-32"/>
              <w:jc w:val="center"/>
              <w:rPr>
                <w:bCs/>
                <w:sz w:val="22"/>
                <w:szCs w:val="22"/>
              </w:rPr>
            </w:pPr>
            <w:r>
              <w:rPr>
                <w:bCs/>
                <w:sz w:val="22"/>
                <w:szCs w:val="22"/>
              </w:rPr>
              <w:t>西方叙事学</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ind w:left="40" w:hanging="39" w:hangingChars="18"/>
              <w:jc w:val="center"/>
              <w:rPr>
                <w:bCs/>
                <w:sz w:val="22"/>
                <w:szCs w:val="22"/>
              </w:rPr>
            </w:pPr>
            <w:r>
              <w:rPr>
                <w:bCs/>
                <w:sz w:val="22"/>
                <w:szCs w:val="22"/>
              </w:rPr>
              <w:t>4</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01822019</w:t>
            </w:r>
          </w:p>
        </w:tc>
        <w:tc>
          <w:tcPr>
            <w:tcW w:w="832"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应用语言学</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1</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01822018</w:t>
            </w:r>
          </w:p>
        </w:tc>
        <w:tc>
          <w:tcPr>
            <w:tcW w:w="832"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美国文学作品导读</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1</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01862001</w:t>
            </w:r>
          </w:p>
        </w:tc>
        <w:tc>
          <w:tcPr>
            <w:tcW w:w="832"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科技英语翻译</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01822023</w:t>
            </w:r>
          </w:p>
        </w:tc>
        <w:tc>
          <w:tcPr>
            <w:tcW w:w="832"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语用学</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01822017</w:t>
            </w:r>
          </w:p>
        </w:tc>
        <w:tc>
          <w:tcPr>
            <w:tcW w:w="832"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英国文学作品导读</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01822052</w:t>
            </w:r>
          </w:p>
        </w:tc>
        <w:tc>
          <w:tcPr>
            <w:tcW w:w="832"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统计分析</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01822028</w:t>
            </w:r>
          </w:p>
        </w:tc>
        <w:tc>
          <w:tcPr>
            <w:tcW w:w="832"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语言测试</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01822032</w:t>
            </w:r>
          </w:p>
        </w:tc>
        <w:tc>
          <w:tcPr>
            <w:tcW w:w="832"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话语分析</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01821007</w:t>
            </w:r>
          </w:p>
        </w:tc>
        <w:tc>
          <w:tcPr>
            <w:tcW w:w="832"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二十一世纪西方文学批评理论</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54</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3</w:t>
            </w:r>
          </w:p>
        </w:tc>
        <w:tc>
          <w:tcPr>
            <w:tcW w:w="378"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01822027</w:t>
            </w:r>
          </w:p>
        </w:tc>
        <w:tc>
          <w:tcPr>
            <w:tcW w:w="832" w:type="pct"/>
            <w:tcMar>
              <w:top w:w="15" w:type="dxa"/>
              <w:left w:w="108" w:type="dxa"/>
              <w:bottom w:w="0" w:type="dxa"/>
              <w:right w:w="108" w:type="dxa"/>
            </w:tcMar>
            <w:vAlign w:val="center"/>
          </w:tcPr>
          <w:p>
            <w:pPr>
              <w:spacing w:line="300" w:lineRule="exact"/>
              <w:jc w:val="center"/>
              <w:rPr>
                <w:bCs/>
                <w:kern w:val="0"/>
                <w:sz w:val="22"/>
                <w:szCs w:val="22"/>
              </w:rPr>
            </w:pPr>
            <w:r>
              <w:rPr>
                <w:bCs/>
                <w:kern w:val="0"/>
                <w:sz w:val="22"/>
                <w:szCs w:val="22"/>
              </w:rPr>
              <w:t>句法学</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4</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01822029</w:t>
            </w:r>
          </w:p>
        </w:tc>
        <w:tc>
          <w:tcPr>
            <w:tcW w:w="832" w:type="pct"/>
            <w:tcMar>
              <w:top w:w="15" w:type="dxa"/>
              <w:left w:w="108" w:type="dxa"/>
              <w:bottom w:w="0" w:type="dxa"/>
              <w:right w:w="108" w:type="dxa"/>
            </w:tcMar>
            <w:vAlign w:val="center"/>
          </w:tcPr>
          <w:p>
            <w:pPr>
              <w:spacing w:line="300" w:lineRule="exact"/>
              <w:jc w:val="center"/>
              <w:rPr>
                <w:bCs/>
                <w:kern w:val="0"/>
                <w:sz w:val="22"/>
                <w:szCs w:val="22"/>
              </w:rPr>
            </w:pPr>
            <w:r>
              <w:rPr>
                <w:bCs/>
                <w:kern w:val="0"/>
                <w:sz w:val="22"/>
                <w:szCs w:val="22"/>
              </w:rPr>
              <w:t>语言学方法论（语言学方向必选）</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4</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594" w:type="pct"/>
            <w:vMerge w:val="continue"/>
            <w:vAlign w:val="center"/>
          </w:tcPr>
          <w:p>
            <w:pPr>
              <w:spacing w:line="300" w:lineRule="exact"/>
              <w:jc w:val="center"/>
              <w:rPr>
                <w:bCs/>
                <w:sz w:val="22"/>
                <w:szCs w:val="22"/>
              </w:rPr>
            </w:pPr>
          </w:p>
        </w:tc>
        <w:tc>
          <w:tcPr>
            <w:tcW w:w="526" w:type="pct"/>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01822022</w:t>
            </w:r>
          </w:p>
        </w:tc>
        <w:tc>
          <w:tcPr>
            <w:tcW w:w="832" w:type="pct"/>
            <w:tcMar>
              <w:top w:w="15" w:type="dxa"/>
              <w:left w:w="108" w:type="dxa"/>
              <w:bottom w:w="0" w:type="dxa"/>
              <w:right w:w="108" w:type="dxa"/>
            </w:tcMar>
            <w:vAlign w:val="center"/>
          </w:tcPr>
          <w:p>
            <w:pPr>
              <w:spacing w:line="300" w:lineRule="exact"/>
              <w:jc w:val="center"/>
              <w:rPr>
                <w:bCs/>
                <w:sz w:val="22"/>
                <w:szCs w:val="22"/>
              </w:rPr>
            </w:pPr>
            <w:r>
              <w:rPr>
                <w:bCs/>
                <w:kern w:val="0"/>
                <w:sz w:val="22"/>
                <w:szCs w:val="22"/>
              </w:rPr>
              <w:t>文学翻译</w:t>
            </w:r>
          </w:p>
        </w:tc>
        <w:tc>
          <w:tcPr>
            <w:tcW w:w="373" w:type="pct"/>
            <w:tcMar>
              <w:top w:w="15" w:type="dxa"/>
              <w:left w:w="108" w:type="dxa"/>
              <w:bottom w:w="0" w:type="dxa"/>
              <w:right w:w="108" w:type="dxa"/>
            </w:tcMar>
            <w:vAlign w:val="center"/>
          </w:tcPr>
          <w:p>
            <w:pPr>
              <w:spacing w:line="300" w:lineRule="exact"/>
              <w:jc w:val="center"/>
              <w:rPr>
                <w:bCs/>
                <w:sz w:val="22"/>
                <w:szCs w:val="22"/>
              </w:rPr>
            </w:pPr>
            <w:r>
              <w:rPr>
                <w:bCs/>
                <w:sz w:val="22"/>
                <w:szCs w:val="22"/>
              </w:rPr>
              <w:t>36</w:t>
            </w: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r>
              <w:rPr>
                <w:bCs/>
                <w:sz w:val="22"/>
                <w:szCs w:val="22"/>
              </w:rPr>
              <w:t>2</w:t>
            </w: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vMerge w:val="continue"/>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258" w:hRule="atLeast"/>
          <w:jc w:val="center"/>
        </w:trPr>
        <w:tc>
          <w:tcPr>
            <w:tcW w:w="594" w:type="pct"/>
            <w:vMerge w:val="continue"/>
            <w:vAlign w:val="center"/>
          </w:tcPr>
          <w:p>
            <w:pPr>
              <w:spacing w:line="300" w:lineRule="exact"/>
              <w:jc w:val="center"/>
              <w:rPr>
                <w:bCs/>
                <w:sz w:val="22"/>
                <w:szCs w:val="22"/>
              </w:rPr>
            </w:pPr>
          </w:p>
        </w:tc>
        <w:tc>
          <w:tcPr>
            <w:tcW w:w="526" w:type="pct"/>
            <w:tcMar>
              <w:top w:w="15" w:type="dxa"/>
              <w:left w:w="108" w:type="dxa"/>
              <w:bottom w:w="0" w:type="dxa"/>
              <w:right w:w="108" w:type="dxa"/>
            </w:tcMar>
            <w:vAlign w:val="center"/>
          </w:tcPr>
          <w:p>
            <w:pPr>
              <w:spacing w:line="300" w:lineRule="exact"/>
              <w:jc w:val="center"/>
              <w:rPr>
                <w:bCs/>
                <w:sz w:val="22"/>
                <w:szCs w:val="22"/>
              </w:rPr>
            </w:pPr>
            <w:r>
              <w:rPr>
                <w:bCs/>
                <w:sz w:val="22"/>
                <w:szCs w:val="22"/>
              </w:rPr>
              <w:t>跨学科选修课</w:t>
            </w:r>
          </w:p>
          <w:p>
            <w:pPr>
              <w:spacing w:line="300" w:lineRule="exact"/>
              <w:jc w:val="center"/>
              <w:rPr>
                <w:bCs/>
                <w:sz w:val="22"/>
                <w:szCs w:val="22"/>
              </w:rPr>
            </w:pPr>
            <w:r>
              <w:rPr>
                <w:bCs/>
                <w:sz w:val="22"/>
                <w:szCs w:val="22"/>
              </w:rPr>
              <w:t>(1学分)</w:t>
            </w:r>
          </w:p>
        </w:tc>
        <w:tc>
          <w:tcPr>
            <w:tcW w:w="751" w:type="pct"/>
            <w:tcMar>
              <w:top w:w="15" w:type="dxa"/>
              <w:left w:w="108" w:type="dxa"/>
              <w:bottom w:w="0" w:type="dxa"/>
              <w:right w:w="108" w:type="dxa"/>
            </w:tcMar>
            <w:vAlign w:val="center"/>
          </w:tcPr>
          <w:p>
            <w:pPr>
              <w:spacing w:line="300" w:lineRule="exact"/>
              <w:jc w:val="center"/>
              <w:rPr>
                <w:bCs/>
                <w:sz w:val="22"/>
                <w:szCs w:val="22"/>
              </w:rPr>
            </w:pPr>
          </w:p>
        </w:tc>
        <w:tc>
          <w:tcPr>
            <w:tcW w:w="832" w:type="pct"/>
            <w:tcMar>
              <w:top w:w="15" w:type="dxa"/>
              <w:left w:w="108" w:type="dxa"/>
              <w:bottom w:w="0" w:type="dxa"/>
              <w:right w:w="108" w:type="dxa"/>
            </w:tcMar>
            <w:vAlign w:val="center"/>
          </w:tcPr>
          <w:p>
            <w:pPr>
              <w:spacing w:line="300" w:lineRule="exact"/>
              <w:jc w:val="center"/>
              <w:rPr>
                <w:bCs/>
                <w:sz w:val="22"/>
                <w:szCs w:val="22"/>
              </w:rPr>
            </w:pPr>
            <w:r>
              <w:rPr>
                <w:rFonts w:hint="eastAsia"/>
                <w:bCs/>
                <w:sz w:val="22"/>
                <w:szCs w:val="22"/>
              </w:rPr>
              <w:t>具体课程见</w:t>
            </w:r>
          </w:p>
          <w:p>
            <w:pPr>
              <w:spacing w:line="300" w:lineRule="exact"/>
              <w:jc w:val="center"/>
              <w:rPr>
                <w:bCs/>
                <w:sz w:val="22"/>
                <w:szCs w:val="22"/>
              </w:rPr>
            </w:pPr>
            <w:r>
              <w:rPr>
                <w:rFonts w:hint="eastAsia"/>
                <w:bCs/>
                <w:sz w:val="22"/>
                <w:szCs w:val="22"/>
              </w:rPr>
              <w:t>原则意见</w:t>
            </w:r>
          </w:p>
        </w:tc>
        <w:tc>
          <w:tcPr>
            <w:tcW w:w="373" w:type="pct"/>
            <w:tcMar>
              <w:top w:w="15" w:type="dxa"/>
              <w:left w:w="108" w:type="dxa"/>
              <w:bottom w:w="0" w:type="dxa"/>
              <w:right w:w="108" w:type="dxa"/>
            </w:tcMar>
            <w:vAlign w:val="center"/>
          </w:tcPr>
          <w:p>
            <w:pPr>
              <w:spacing w:line="300" w:lineRule="exact"/>
              <w:jc w:val="center"/>
              <w:rPr>
                <w:bCs/>
                <w:sz w:val="22"/>
                <w:szCs w:val="22"/>
              </w:rPr>
            </w:pP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jc w:val="center"/>
              <w:rPr>
                <w:bCs/>
                <w:sz w:val="22"/>
                <w:szCs w:val="22"/>
              </w:rPr>
            </w:pPr>
          </w:p>
        </w:tc>
        <w:tc>
          <w:tcPr>
            <w:tcW w:w="378" w:type="pct"/>
            <w:tcMar>
              <w:top w:w="15" w:type="dxa"/>
              <w:left w:w="108" w:type="dxa"/>
              <w:bottom w:w="0" w:type="dxa"/>
              <w:right w:w="108" w:type="dxa"/>
            </w:tcMar>
            <w:vAlign w:val="center"/>
          </w:tcPr>
          <w:p>
            <w:pPr>
              <w:spacing w:line="300" w:lineRule="exact"/>
              <w:jc w:val="center"/>
              <w:rPr>
                <w:bCs/>
                <w:sz w:val="22"/>
                <w:szCs w:val="22"/>
              </w:rPr>
            </w:pPr>
            <w:r>
              <w:rPr>
                <w:bCs/>
                <w:sz w:val="22"/>
                <w:szCs w:val="22"/>
              </w:rPr>
              <w:t>1-2</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研究生院</w:t>
            </w:r>
          </w:p>
        </w:tc>
        <w:tc>
          <w:tcPr>
            <w:tcW w:w="395" w:type="pct"/>
            <w:tcMar>
              <w:top w:w="15" w:type="dxa"/>
              <w:left w:w="108" w:type="dxa"/>
              <w:bottom w:w="0" w:type="dxa"/>
              <w:right w:w="108" w:type="dxa"/>
            </w:tcMar>
            <w:vAlign w:val="center"/>
          </w:tcPr>
          <w:p>
            <w:pPr>
              <w:spacing w:line="300" w:lineRule="exact"/>
              <w:jc w:val="center"/>
              <w:rPr>
                <w:bCs/>
                <w:sz w:val="22"/>
                <w:szCs w:val="22"/>
              </w:rPr>
            </w:pPr>
            <w:r>
              <w:rPr>
                <w:bCs/>
                <w:sz w:val="22"/>
                <w:szCs w:val="22"/>
              </w:rPr>
              <w:t>至少</w:t>
            </w:r>
          </w:p>
          <w:p>
            <w:pPr>
              <w:spacing w:line="300" w:lineRule="exact"/>
              <w:jc w:val="center"/>
              <w:rPr>
                <w:bCs/>
                <w:sz w:val="22"/>
                <w:szCs w:val="22"/>
              </w:rPr>
            </w:pPr>
            <w:r>
              <w:rPr>
                <w:bCs/>
                <w:sz w:val="22"/>
                <w:szCs w:val="22"/>
              </w:rPr>
              <w:t>选修</w:t>
            </w:r>
          </w:p>
          <w:p>
            <w:pPr>
              <w:spacing w:line="300" w:lineRule="exact"/>
              <w:jc w:val="center"/>
              <w:rPr>
                <w:bCs/>
                <w:sz w:val="22"/>
                <w:szCs w:val="22"/>
              </w:rPr>
            </w:pPr>
            <w:r>
              <w:rPr>
                <w:bCs/>
                <w:sz w:val="22"/>
                <w:szCs w:val="22"/>
              </w:rPr>
              <w:t>1门</w:t>
            </w: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9" w:hRule="atLeast"/>
          <w:jc w:val="center"/>
        </w:trPr>
        <w:tc>
          <w:tcPr>
            <w:tcW w:w="1120" w:type="pct"/>
            <w:gridSpan w:val="2"/>
            <w:vMerge w:val="restart"/>
            <w:tcMar>
              <w:top w:w="15" w:type="dxa"/>
              <w:left w:w="108" w:type="dxa"/>
              <w:bottom w:w="0" w:type="dxa"/>
              <w:right w:w="108" w:type="dxa"/>
            </w:tcMar>
            <w:vAlign w:val="center"/>
          </w:tcPr>
          <w:p>
            <w:pPr>
              <w:spacing w:line="300" w:lineRule="exact"/>
              <w:jc w:val="center"/>
              <w:rPr>
                <w:bCs/>
                <w:sz w:val="22"/>
                <w:szCs w:val="22"/>
              </w:rPr>
            </w:pPr>
            <w:r>
              <w:rPr>
                <w:bCs/>
                <w:sz w:val="22"/>
                <w:szCs w:val="22"/>
              </w:rPr>
              <w:t>必修</w:t>
            </w:r>
          </w:p>
          <w:p>
            <w:pPr>
              <w:spacing w:line="300" w:lineRule="exact"/>
              <w:jc w:val="center"/>
              <w:rPr>
                <w:bCs/>
                <w:sz w:val="22"/>
                <w:szCs w:val="22"/>
              </w:rPr>
            </w:pPr>
            <w:r>
              <w:rPr>
                <w:bCs/>
                <w:sz w:val="22"/>
                <w:szCs w:val="22"/>
              </w:rPr>
              <w:t>环节</w:t>
            </w:r>
          </w:p>
          <w:p>
            <w:pPr>
              <w:spacing w:line="300" w:lineRule="exact"/>
              <w:jc w:val="center"/>
              <w:rPr>
                <w:bCs/>
                <w:sz w:val="22"/>
                <w:szCs w:val="22"/>
              </w:rPr>
            </w:pPr>
            <w:r>
              <w:rPr>
                <w:bCs/>
                <w:sz w:val="22"/>
                <w:szCs w:val="22"/>
              </w:rPr>
              <w:t>（6学分）</w:t>
            </w: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01824005</w:t>
            </w:r>
          </w:p>
        </w:tc>
        <w:tc>
          <w:tcPr>
            <w:tcW w:w="832" w:type="pct"/>
            <w:tcMar>
              <w:top w:w="15" w:type="dxa"/>
              <w:left w:w="108" w:type="dxa"/>
              <w:bottom w:w="0" w:type="dxa"/>
              <w:right w:w="108" w:type="dxa"/>
            </w:tcMar>
            <w:vAlign w:val="center"/>
          </w:tcPr>
          <w:p>
            <w:pPr>
              <w:spacing w:line="300" w:lineRule="exact"/>
              <w:ind w:right="-67" w:rightChars="-32"/>
              <w:jc w:val="center"/>
              <w:rPr>
                <w:bCs/>
                <w:sz w:val="22"/>
                <w:szCs w:val="22"/>
              </w:rPr>
            </w:pPr>
            <w:r>
              <w:rPr>
                <w:bCs/>
                <w:sz w:val="22"/>
                <w:szCs w:val="22"/>
              </w:rPr>
              <w:t>实践环节</w:t>
            </w:r>
          </w:p>
        </w:tc>
        <w:tc>
          <w:tcPr>
            <w:tcW w:w="373" w:type="pct"/>
            <w:tcMar>
              <w:top w:w="15" w:type="dxa"/>
              <w:left w:w="108" w:type="dxa"/>
              <w:bottom w:w="0" w:type="dxa"/>
              <w:right w:w="108" w:type="dxa"/>
            </w:tcMar>
            <w:vAlign w:val="center"/>
          </w:tcPr>
          <w:p>
            <w:pPr>
              <w:spacing w:line="300" w:lineRule="exact"/>
              <w:ind w:right="-67" w:rightChars="-32"/>
              <w:jc w:val="center"/>
              <w:rPr>
                <w:bCs/>
                <w:sz w:val="22"/>
                <w:szCs w:val="22"/>
              </w:rPr>
            </w:pP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spacing w:line="300" w:lineRule="exact"/>
              <w:ind w:right="-67" w:rightChars="-32"/>
              <w:jc w:val="center"/>
              <w:rPr>
                <w:bCs/>
                <w:sz w:val="22"/>
                <w:szCs w:val="22"/>
              </w:rPr>
            </w:pPr>
            <w:r>
              <w:rPr>
                <w:bCs/>
                <w:sz w:val="22"/>
                <w:szCs w:val="22"/>
              </w:rPr>
              <w:t>4</w:t>
            </w:r>
          </w:p>
        </w:tc>
        <w:tc>
          <w:tcPr>
            <w:tcW w:w="378" w:type="pct"/>
            <w:tcMar>
              <w:top w:w="15" w:type="dxa"/>
              <w:left w:w="108" w:type="dxa"/>
              <w:bottom w:w="0" w:type="dxa"/>
              <w:right w:w="108" w:type="dxa"/>
            </w:tcMar>
            <w:vAlign w:val="center"/>
          </w:tcPr>
          <w:p>
            <w:pPr>
              <w:spacing w:line="300" w:lineRule="exact"/>
              <w:ind w:right="-67" w:rightChars="-32"/>
              <w:jc w:val="center"/>
              <w:rPr>
                <w:bCs/>
                <w:sz w:val="22"/>
                <w:szCs w:val="22"/>
              </w:rPr>
            </w:pPr>
            <w:r>
              <w:rPr>
                <w:bCs/>
                <w:sz w:val="22"/>
                <w:szCs w:val="22"/>
              </w:rPr>
              <w:t>3</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5" w:hRule="atLeast"/>
          <w:jc w:val="center"/>
        </w:trPr>
        <w:tc>
          <w:tcPr>
            <w:tcW w:w="1120" w:type="pct"/>
            <w:gridSpan w:val="2"/>
            <w:vMerge w:val="continue"/>
            <w:vAlign w:val="center"/>
          </w:tcPr>
          <w:p>
            <w:pPr>
              <w:spacing w:line="300" w:lineRule="exact"/>
              <w:jc w:val="center"/>
              <w:rPr>
                <w:bCs/>
                <w:sz w:val="22"/>
                <w:szCs w:val="22"/>
              </w:rPr>
            </w:pPr>
          </w:p>
        </w:tc>
        <w:tc>
          <w:tcPr>
            <w:tcW w:w="751" w:type="pct"/>
            <w:tcMar>
              <w:top w:w="15" w:type="dxa"/>
              <w:left w:w="108" w:type="dxa"/>
              <w:bottom w:w="0" w:type="dxa"/>
              <w:right w:w="108" w:type="dxa"/>
            </w:tcMar>
            <w:vAlign w:val="center"/>
          </w:tcPr>
          <w:p>
            <w:pPr>
              <w:spacing w:line="300" w:lineRule="exact"/>
              <w:jc w:val="center"/>
              <w:rPr>
                <w:bCs/>
                <w:sz w:val="22"/>
                <w:szCs w:val="22"/>
              </w:rPr>
            </w:pPr>
            <w:r>
              <w:rPr>
                <w:bCs/>
                <w:sz w:val="22"/>
                <w:szCs w:val="22"/>
              </w:rPr>
              <w:t>01824002</w:t>
            </w:r>
          </w:p>
        </w:tc>
        <w:tc>
          <w:tcPr>
            <w:tcW w:w="832" w:type="pct"/>
            <w:tcMar>
              <w:top w:w="15" w:type="dxa"/>
              <w:left w:w="108" w:type="dxa"/>
              <w:bottom w:w="0" w:type="dxa"/>
              <w:right w:w="108" w:type="dxa"/>
            </w:tcMar>
            <w:vAlign w:val="center"/>
          </w:tcPr>
          <w:p>
            <w:pPr>
              <w:spacing w:line="300" w:lineRule="exact"/>
              <w:ind w:right="-67" w:rightChars="-32"/>
              <w:jc w:val="center"/>
              <w:rPr>
                <w:bCs/>
                <w:sz w:val="22"/>
                <w:szCs w:val="22"/>
              </w:rPr>
            </w:pPr>
            <w:r>
              <w:rPr>
                <w:bCs/>
                <w:sz w:val="22"/>
                <w:szCs w:val="22"/>
              </w:rPr>
              <w:t>选题报告及中期考核</w:t>
            </w:r>
          </w:p>
        </w:tc>
        <w:tc>
          <w:tcPr>
            <w:tcW w:w="373" w:type="pct"/>
            <w:tcMar>
              <w:top w:w="15" w:type="dxa"/>
              <w:left w:w="108" w:type="dxa"/>
              <w:bottom w:w="0" w:type="dxa"/>
              <w:right w:w="108" w:type="dxa"/>
            </w:tcMar>
            <w:vAlign w:val="center"/>
          </w:tcPr>
          <w:p>
            <w:pPr>
              <w:spacing w:line="300" w:lineRule="exact"/>
              <w:ind w:right="-67" w:rightChars="-32"/>
              <w:jc w:val="center"/>
              <w:rPr>
                <w:bCs/>
                <w:sz w:val="22"/>
                <w:szCs w:val="22"/>
              </w:rPr>
            </w:pPr>
          </w:p>
        </w:tc>
        <w:tc>
          <w:tcPr>
            <w:tcW w:w="369" w:type="pct"/>
            <w:tcMar>
              <w:top w:w="15" w:type="dxa"/>
              <w:left w:w="108" w:type="dxa"/>
              <w:bottom w:w="0" w:type="dxa"/>
              <w:right w:w="108" w:type="dxa"/>
            </w:tcMar>
            <w:vAlign w:val="center"/>
          </w:tcPr>
          <w:p>
            <w:pPr>
              <w:spacing w:line="300" w:lineRule="exact"/>
              <w:jc w:val="center"/>
              <w:rPr>
                <w:bCs/>
                <w:sz w:val="22"/>
                <w:szCs w:val="22"/>
              </w:rPr>
            </w:pPr>
          </w:p>
        </w:tc>
        <w:tc>
          <w:tcPr>
            <w:tcW w:w="274" w:type="pct"/>
            <w:tcMar>
              <w:top w:w="15" w:type="dxa"/>
              <w:left w:w="108" w:type="dxa"/>
              <w:bottom w:w="0" w:type="dxa"/>
              <w:right w:w="108" w:type="dxa"/>
            </w:tcMar>
            <w:vAlign w:val="center"/>
          </w:tcPr>
          <w:p>
            <w:pPr>
              <w:tabs>
                <w:tab w:val="left" w:pos="420"/>
                <w:tab w:val="center" w:pos="4153"/>
                <w:tab w:val="right" w:pos="8306"/>
              </w:tabs>
              <w:spacing w:line="300" w:lineRule="exact"/>
              <w:ind w:right="-67" w:rightChars="-32"/>
              <w:jc w:val="center"/>
              <w:rPr>
                <w:bCs/>
                <w:sz w:val="22"/>
                <w:szCs w:val="22"/>
              </w:rPr>
            </w:pPr>
            <w:r>
              <w:rPr>
                <w:bCs/>
                <w:sz w:val="22"/>
                <w:szCs w:val="22"/>
              </w:rPr>
              <w:t>1</w:t>
            </w:r>
          </w:p>
        </w:tc>
        <w:tc>
          <w:tcPr>
            <w:tcW w:w="378" w:type="pct"/>
            <w:tcMar>
              <w:top w:w="15" w:type="dxa"/>
              <w:left w:w="108" w:type="dxa"/>
              <w:bottom w:w="0" w:type="dxa"/>
              <w:right w:w="108" w:type="dxa"/>
            </w:tcMar>
            <w:vAlign w:val="center"/>
          </w:tcPr>
          <w:p>
            <w:pPr>
              <w:spacing w:line="300" w:lineRule="exact"/>
              <w:ind w:right="-67" w:rightChars="-32"/>
              <w:jc w:val="center"/>
              <w:rPr>
                <w:bCs/>
                <w:sz w:val="22"/>
                <w:szCs w:val="22"/>
              </w:rPr>
            </w:pPr>
            <w:r>
              <w:rPr>
                <w:bCs/>
                <w:sz w:val="22"/>
                <w:szCs w:val="22"/>
              </w:rPr>
              <w:t>4</w:t>
            </w:r>
          </w:p>
        </w:tc>
        <w:tc>
          <w:tcPr>
            <w:tcW w:w="507" w:type="pct"/>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tcMar>
              <w:top w:w="15" w:type="dxa"/>
              <w:left w:w="108" w:type="dxa"/>
              <w:bottom w:w="0" w:type="dxa"/>
              <w:right w:w="108" w:type="dxa"/>
            </w:tcMar>
            <w:vAlign w:val="center"/>
          </w:tcPr>
          <w:p>
            <w:pPr>
              <w:spacing w:line="300" w:lineRule="exact"/>
              <w:jc w:val="center"/>
              <w:rPr>
                <w:bCs/>
                <w:sz w:val="22"/>
                <w:szCs w:val="22"/>
              </w:rPr>
            </w:pPr>
          </w:p>
        </w:tc>
      </w:tr>
      <w:tr>
        <w:tblPrEx>
          <w:tblBorders>
            <w:top w:val="single" w:color="000000" w:sz="8" w:space="0"/>
            <w:left w:val="single" w:color="000000" w:sz="8" w:space="0"/>
            <w:bottom w:val="none" w:color="auto" w:sz="0"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5" w:hRule="atLeast"/>
          <w:jc w:val="center"/>
        </w:trPr>
        <w:tc>
          <w:tcPr>
            <w:tcW w:w="1120" w:type="pct"/>
            <w:gridSpan w:val="2"/>
            <w:vMerge w:val="continue"/>
            <w:tcBorders>
              <w:bottom w:val="single" w:color="000000" w:sz="8" w:space="0"/>
            </w:tcBorders>
            <w:vAlign w:val="center"/>
          </w:tcPr>
          <w:p>
            <w:pPr>
              <w:spacing w:line="300" w:lineRule="exact"/>
              <w:jc w:val="center"/>
              <w:rPr>
                <w:bCs/>
                <w:sz w:val="22"/>
                <w:szCs w:val="22"/>
              </w:rPr>
            </w:pPr>
          </w:p>
        </w:tc>
        <w:tc>
          <w:tcPr>
            <w:tcW w:w="751" w:type="pct"/>
            <w:tcBorders>
              <w:bottom w:val="single" w:color="000000" w:sz="8" w:space="0"/>
            </w:tcBorders>
            <w:tcMar>
              <w:top w:w="15" w:type="dxa"/>
              <w:left w:w="108" w:type="dxa"/>
              <w:bottom w:w="0" w:type="dxa"/>
              <w:right w:w="108" w:type="dxa"/>
            </w:tcMar>
            <w:vAlign w:val="center"/>
          </w:tcPr>
          <w:p>
            <w:pPr>
              <w:spacing w:line="300" w:lineRule="exact"/>
              <w:jc w:val="center"/>
              <w:rPr>
                <w:bCs/>
                <w:sz w:val="22"/>
                <w:szCs w:val="22"/>
              </w:rPr>
            </w:pPr>
            <w:r>
              <w:rPr>
                <w:bCs/>
                <w:sz w:val="22"/>
                <w:szCs w:val="22"/>
              </w:rPr>
              <w:t>01824003</w:t>
            </w:r>
          </w:p>
        </w:tc>
        <w:tc>
          <w:tcPr>
            <w:tcW w:w="832" w:type="pct"/>
            <w:tcBorders>
              <w:bottom w:val="single" w:color="000000" w:sz="8" w:space="0"/>
            </w:tcBorders>
            <w:tcMar>
              <w:top w:w="15" w:type="dxa"/>
              <w:left w:w="108" w:type="dxa"/>
              <w:bottom w:w="0" w:type="dxa"/>
              <w:right w:w="108" w:type="dxa"/>
            </w:tcMar>
            <w:vAlign w:val="center"/>
          </w:tcPr>
          <w:p>
            <w:pPr>
              <w:spacing w:line="300" w:lineRule="exact"/>
              <w:jc w:val="center"/>
              <w:rPr>
                <w:bCs/>
                <w:sz w:val="22"/>
                <w:szCs w:val="22"/>
              </w:rPr>
            </w:pPr>
            <w:r>
              <w:rPr>
                <w:bCs/>
                <w:sz w:val="22"/>
                <w:szCs w:val="22"/>
              </w:rPr>
              <w:t>学术活动</w:t>
            </w:r>
          </w:p>
        </w:tc>
        <w:tc>
          <w:tcPr>
            <w:tcW w:w="373" w:type="pct"/>
            <w:tcBorders>
              <w:bottom w:val="single" w:color="000000" w:sz="8" w:space="0"/>
            </w:tcBorders>
            <w:tcMar>
              <w:top w:w="15" w:type="dxa"/>
              <w:left w:w="108" w:type="dxa"/>
              <w:bottom w:w="0" w:type="dxa"/>
              <w:right w:w="108" w:type="dxa"/>
            </w:tcMar>
            <w:vAlign w:val="center"/>
          </w:tcPr>
          <w:p>
            <w:pPr>
              <w:spacing w:line="300" w:lineRule="exact"/>
              <w:ind w:right="-105" w:rightChars="-50"/>
              <w:jc w:val="center"/>
              <w:rPr>
                <w:bCs/>
                <w:sz w:val="22"/>
                <w:szCs w:val="22"/>
              </w:rPr>
            </w:pPr>
          </w:p>
        </w:tc>
        <w:tc>
          <w:tcPr>
            <w:tcW w:w="369" w:type="pct"/>
            <w:tcBorders>
              <w:bottom w:val="single" w:color="000000" w:sz="8" w:space="0"/>
            </w:tcBorders>
            <w:tcMar>
              <w:top w:w="15" w:type="dxa"/>
              <w:left w:w="108" w:type="dxa"/>
              <w:bottom w:w="0" w:type="dxa"/>
              <w:right w:w="108" w:type="dxa"/>
            </w:tcMar>
            <w:vAlign w:val="center"/>
          </w:tcPr>
          <w:p>
            <w:pPr>
              <w:spacing w:line="300" w:lineRule="exact"/>
              <w:jc w:val="center"/>
              <w:rPr>
                <w:bCs/>
                <w:sz w:val="22"/>
                <w:szCs w:val="22"/>
              </w:rPr>
            </w:pPr>
          </w:p>
        </w:tc>
        <w:tc>
          <w:tcPr>
            <w:tcW w:w="274" w:type="pct"/>
            <w:tcBorders>
              <w:bottom w:val="single" w:color="000000" w:sz="8" w:space="0"/>
            </w:tcBorders>
            <w:tcMar>
              <w:top w:w="15" w:type="dxa"/>
              <w:left w:w="108" w:type="dxa"/>
              <w:bottom w:w="0" w:type="dxa"/>
              <w:right w:w="108" w:type="dxa"/>
            </w:tcMar>
            <w:vAlign w:val="center"/>
          </w:tcPr>
          <w:p>
            <w:pPr>
              <w:spacing w:line="300" w:lineRule="exact"/>
              <w:jc w:val="center"/>
              <w:rPr>
                <w:bCs/>
                <w:sz w:val="22"/>
                <w:szCs w:val="22"/>
              </w:rPr>
            </w:pPr>
            <w:r>
              <w:rPr>
                <w:bCs/>
                <w:sz w:val="22"/>
                <w:szCs w:val="22"/>
              </w:rPr>
              <w:t>1</w:t>
            </w:r>
          </w:p>
        </w:tc>
        <w:tc>
          <w:tcPr>
            <w:tcW w:w="378" w:type="pct"/>
            <w:tcBorders>
              <w:bottom w:val="single" w:color="000000" w:sz="8" w:space="0"/>
            </w:tcBorders>
            <w:tcMar>
              <w:top w:w="15" w:type="dxa"/>
              <w:left w:w="108" w:type="dxa"/>
              <w:bottom w:w="0" w:type="dxa"/>
              <w:right w:w="108" w:type="dxa"/>
            </w:tcMar>
            <w:vAlign w:val="center"/>
          </w:tcPr>
          <w:p>
            <w:pPr>
              <w:spacing w:line="300" w:lineRule="exact"/>
              <w:jc w:val="center"/>
              <w:rPr>
                <w:bCs/>
                <w:sz w:val="22"/>
                <w:szCs w:val="22"/>
              </w:rPr>
            </w:pPr>
            <w:r>
              <w:rPr>
                <w:bCs/>
                <w:sz w:val="22"/>
                <w:szCs w:val="22"/>
              </w:rPr>
              <w:t>1-4</w:t>
            </w:r>
          </w:p>
        </w:tc>
        <w:tc>
          <w:tcPr>
            <w:tcW w:w="507" w:type="pct"/>
            <w:tcBorders>
              <w:bottom w:val="single" w:color="000000" w:sz="8" w:space="0"/>
            </w:tcBorders>
            <w:tcMar>
              <w:top w:w="15" w:type="dxa"/>
              <w:left w:w="108" w:type="dxa"/>
              <w:bottom w:w="0" w:type="dxa"/>
              <w:right w:w="108" w:type="dxa"/>
            </w:tcMar>
            <w:vAlign w:val="center"/>
          </w:tcPr>
          <w:p>
            <w:pPr>
              <w:spacing w:line="300" w:lineRule="exact"/>
              <w:jc w:val="center"/>
              <w:rPr>
                <w:bCs/>
                <w:sz w:val="22"/>
                <w:szCs w:val="22"/>
              </w:rPr>
            </w:pPr>
            <w:r>
              <w:rPr>
                <w:bCs/>
                <w:sz w:val="22"/>
                <w:szCs w:val="22"/>
              </w:rPr>
              <w:t>外国语学院</w:t>
            </w:r>
          </w:p>
        </w:tc>
        <w:tc>
          <w:tcPr>
            <w:tcW w:w="395" w:type="pct"/>
            <w:tcBorders>
              <w:bottom w:val="single" w:color="000000" w:sz="8" w:space="0"/>
            </w:tcBorders>
            <w:tcMar>
              <w:top w:w="15" w:type="dxa"/>
              <w:left w:w="108" w:type="dxa"/>
              <w:bottom w:w="0" w:type="dxa"/>
              <w:right w:w="108" w:type="dxa"/>
            </w:tcMar>
            <w:vAlign w:val="center"/>
          </w:tcPr>
          <w:p>
            <w:pPr>
              <w:spacing w:line="300" w:lineRule="exact"/>
              <w:ind w:right="-105" w:rightChars="-50"/>
              <w:jc w:val="center"/>
              <w:rPr>
                <w:bCs/>
                <w:sz w:val="22"/>
                <w:szCs w:val="22"/>
              </w:rPr>
            </w:pPr>
            <w:r>
              <w:rPr>
                <w:bCs/>
                <w:sz w:val="22"/>
                <w:szCs w:val="22"/>
              </w:rPr>
              <w:t>≥5次</w:t>
            </w:r>
          </w:p>
        </w:tc>
      </w:tr>
    </w:tbl>
    <w:p>
      <w:pPr>
        <w:spacing w:before="156" w:beforeLines="50" w:after="156" w:afterLines="50"/>
        <w:outlineLvl w:val="2"/>
        <w:rPr>
          <w:b/>
          <w:bCs/>
          <w:kern w:val="0"/>
          <w:sz w:val="24"/>
          <w:lang w:val="zh-CN"/>
        </w:rPr>
      </w:pPr>
      <w:r>
        <w:rPr>
          <w:rFonts w:hint="eastAsia"/>
          <w:b/>
          <w:bCs/>
          <w:kern w:val="0"/>
          <w:sz w:val="24"/>
          <w:lang w:val="zh-CN"/>
        </w:rPr>
        <w:t>五、必修环节</w:t>
      </w:r>
      <w:bookmarkEnd w:id="12"/>
    </w:p>
    <w:p>
      <w:pPr>
        <w:spacing w:line="400" w:lineRule="exact"/>
        <w:ind w:firstLine="480" w:firstLineChars="200"/>
        <w:rPr>
          <w:bCs/>
          <w:sz w:val="24"/>
        </w:rPr>
      </w:pPr>
      <w:r>
        <w:rPr>
          <w:rFonts w:hint="eastAsia"/>
          <w:bCs/>
          <w:sz w:val="24"/>
        </w:rPr>
        <w:t>（一）</w:t>
      </w:r>
      <w:r>
        <w:rPr>
          <w:bCs/>
          <w:sz w:val="24"/>
        </w:rPr>
        <w:t>实践环节的基本类型</w:t>
      </w:r>
    </w:p>
    <w:p>
      <w:pPr>
        <w:spacing w:line="400" w:lineRule="exact"/>
        <w:ind w:firstLine="480" w:firstLineChars="200"/>
        <w:rPr>
          <w:sz w:val="24"/>
        </w:rPr>
      </w:pPr>
      <w:r>
        <w:rPr>
          <w:sz w:val="24"/>
        </w:rPr>
        <w:t>1．社会实践</w:t>
      </w:r>
    </w:p>
    <w:p>
      <w:pPr>
        <w:spacing w:line="400" w:lineRule="exact"/>
        <w:ind w:firstLine="480" w:firstLineChars="200"/>
        <w:rPr>
          <w:bCs/>
          <w:sz w:val="24"/>
        </w:rPr>
      </w:pPr>
      <w:r>
        <w:rPr>
          <w:bCs/>
          <w:sz w:val="24"/>
        </w:rPr>
        <w:t>研究生可以通过组织和参与社会调查、支教、扶贫及其他志愿者服务等方式进行实践活动，提倡以小组或团队形式开展，累计不少于15个工作日。</w:t>
      </w:r>
    </w:p>
    <w:p>
      <w:pPr>
        <w:spacing w:line="400" w:lineRule="exact"/>
        <w:ind w:firstLine="480" w:firstLineChars="200"/>
        <w:rPr>
          <w:bCs/>
          <w:sz w:val="24"/>
        </w:rPr>
      </w:pPr>
      <w:r>
        <w:rPr>
          <w:bCs/>
          <w:sz w:val="24"/>
        </w:rPr>
        <w:t>研究生完成“社会实践”活动后，需撰写不少于2000字的社会实践总结报告，内容包括实践过程概述及体会、感想等，并附必要的佐证材料。社会实践服务对象（单位或个人）应在报告上填写评语。研究生提交由实践单位和指导教师签署意见的书面实践报告，学院审核通过后记1学分。</w:t>
      </w:r>
    </w:p>
    <w:p>
      <w:pPr>
        <w:spacing w:line="400" w:lineRule="exact"/>
        <w:ind w:firstLine="480" w:firstLineChars="200"/>
        <w:rPr>
          <w:sz w:val="24"/>
        </w:rPr>
      </w:pPr>
      <w:r>
        <w:rPr>
          <w:sz w:val="24"/>
        </w:rPr>
        <w:t>2．助研、助管</w:t>
      </w:r>
    </w:p>
    <w:p>
      <w:pPr>
        <w:spacing w:line="400" w:lineRule="exact"/>
        <w:ind w:firstLine="480" w:firstLineChars="200"/>
        <w:rPr>
          <w:sz w:val="24"/>
        </w:rPr>
      </w:pPr>
      <w:r>
        <w:rPr>
          <w:sz w:val="24"/>
        </w:rPr>
        <w:t>研究生担任助管或助研工作，其目的是培养研究生的综合能力，是研究生培养过程的有机组成部分。完成至少一个标准岗位的助管或助研工作通过后记1学分。</w:t>
      </w:r>
    </w:p>
    <w:p>
      <w:pPr>
        <w:spacing w:line="400" w:lineRule="exact"/>
        <w:ind w:firstLine="480" w:firstLineChars="200"/>
        <w:rPr>
          <w:sz w:val="24"/>
        </w:rPr>
      </w:pPr>
      <w:r>
        <w:rPr>
          <w:sz w:val="24"/>
        </w:rPr>
        <w:t>研究生担任助研、助管的相关要求和考核办法等参照学校研究生“三助”工作有关规定执行。</w:t>
      </w:r>
    </w:p>
    <w:p>
      <w:pPr>
        <w:spacing w:line="400" w:lineRule="exact"/>
        <w:ind w:firstLine="480" w:firstLineChars="200"/>
        <w:rPr>
          <w:sz w:val="24"/>
        </w:rPr>
      </w:pPr>
      <w:r>
        <w:rPr>
          <w:sz w:val="24"/>
        </w:rPr>
        <w:t>3．创新创业竞赛</w:t>
      </w:r>
    </w:p>
    <w:p>
      <w:pPr>
        <w:spacing w:line="400" w:lineRule="exact"/>
        <w:ind w:firstLine="480" w:firstLineChars="200"/>
        <w:rPr>
          <w:sz w:val="24"/>
        </w:rPr>
      </w:pPr>
      <w:r>
        <w:rPr>
          <w:sz w:val="24"/>
        </w:rPr>
        <w:t>规范和促进研究生科研成果转化，鼓励研究生开展创业实践，提高创业技能。研究生在读期间，参与并完成我校各类创新创业竞赛，学院审核通过后记1学分。</w:t>
      </w:r>
    </w:p>
    <w:p>
      <w:pPr>
        <w:spacing w:line="400" w:lineRule="exact"/>
        <w:ind w:firstLine="480" w:firstLineChars="200"/>
        <w:rPr>
          <w:sz w:val="24"/>
        </w:rPr>
      </w:pPr>
      <w:r>
        <w:rPr>
          <w:sz w:val="24"/>
        </w:rPr>
        <w:t>4．基金申请书撰写</w:t>
      </w:r>
    </w:p>
    <w:p>
      <w:pPr>
        <w:spacing w:line="400" w:lineRule="exact"/>
        <w:ind w:firstLine="480" w:firstLineChars="200"/>
        <w:rPr>
          <w:sz w:val="24"/>
        </w:rPr>
      </w:pPr>
      <w:r>
        <w:rPr>
          <w:sz w:val="24"/>
        </w:rPr>
        <w:t>研究生在导师指导下完成一篇省（市）级及以上自然（社会）科学基金等纵向项目的申请书及20分钟汇报PPT，经指导教师检查、评阅合格者记1学分。</w:t>
      </w:r>
    </w:p>
    <w:p>
      <w:pPr>
        <w:spacing w:line="400" w:lineRule="exact"/>
        <w:ind w:firstLine="480" w:firstLineChars="200"/>
        <w:rPr>
          <w:sz w:val="24"/>
        </w:rPr>
      </w:pPr>
      <w:r>
        <w:rPr>
          <w:sz w:val="24"/>
        </w:rPr>
        <w:t>5．国际交流</w:t>
      </w:r>
    </w:p>
    <w:p>
      <w:pPr>
        <w:spacing w:line="400" w:lineRule="exact"/>
        <w:ind w:firstLine="480" w:firstLineChars="200"/>
        <w:rPr>
          <w:sz w:val="24"/>
        </w:rPr>
      </w:pPr>
      <w:r>
        <w:rPr>
          <w:sz w:val="24"/>
        </w:rPr>
        <w:t>研究生在读期间通过各类项目赴境外高校、科研机构学习、交流合作（不少于3个月），或参加一次境外国际学术会议并做口头报告。学院审核通过后记1学分。</w:t>
      </w:r>
    </w:p>
    <w:p>
      <w:pPr>
        <w:spacing w:line="400" w:lineRule="exact"/>
        <w:ind w:firstLine="480" w:firstLineChars="200"/>
        <w:rPr>
          <w:sz w:val="24"/>
        </w:rPr>
      </w:pPr>
      <w:r>
        <w:rPr>
          <w:sz w:val="24"/>
        </w:rPr>
        <w:t>6．实验室安全培训</w:t>
      </w:r>
    </w:p>
    <w:p>
      <w:pPr>
        <w:spacing w:line="400" w:lineRule="exact"/>
        <w:ind w:firstLine="480" w:firstLineChars="200"/>
        <w:rPr>
          <w:sz w:val="24"/>
        </w:rPr>
      </w:pPr>
      <w:r>
        <w:rPr>
          <w:sz w:val="24"/>
        </w:rPr>
        <w:t>研究生进入课题之前必须完成实验室安全培训。考核通过后记1学分。</w:t>
      </w:r>
    </w:p>
    <w:p>
      <w:pPr>
        <w:spacing w:line="400" w:lineRule="exact"/>
        <w:ind w:firstLine="480" w:firstLineChars="200"/>
        <w:rPr>
          <w:sz w:val="24"/>
        </w:rPr>
      </w:pPr>
      <w:r>
        <w:rPr>
          <w:rFonts w:hint="eastAsia" w:cs="宋体"/>
          <w:sz w:val="24"/>
        </w:rPr>
        <w:t>※</w:t>
      </w:r>
      <w:r>
        <w:rPr>
          <w:sz w:val="24"/>
        </w:rPr>
        <w:t>定向培养研究生、来华留学生可免修实践环节，但不记学分，所缺学分必须通过选修课程补齐。</w:t>
      </w:r>
    </w:p>
    <w:p>
      <w:pPr>
        <w:spacing w:line="400" w:lineRule="exact"/>
        <w:ind w:firstLine="480" w:firstLineChars="200"/>
        <w:rPr>
          <w:sz w:val="24"/>
        </w:rPr>
      </w:pPr>
      <w:r>
        <w:rPr>
          <w:bCs/>
          <w:sz w:val="24"/>
        </w:rPr>
        <w:t>（二）</w:t>
      </w:r>
      <w:r>
        <w:rPr>
          <w:sz w:val="24"/>
        </w:rPr>
        <w:t>学术活动</w:t>
      </w:r>
    </w:p>
    <w:p>
      <w:pPr>
        <w:spacing w:line="400" w:lineRule="exact"/>
        <w:ind w:firstLine="480" w:firstLineChars="200"/>
        <w:rPr>
          <w:sz w:val="24"/>
        </w:rPr>
      </w:pPr>
      <w:r>
        <w:rPr>
          <w:sz w:val="24"/>
        </w:rPr>
        <w:t>为了促使研究生能主动关心和了解国内外本学科前沿的发展动态，开阔视野，启发创造力，要求每个硕士研究生应参加学术活动不少于5次，且每次参加学术活动必须写出500字以上的心得。经指导教师（小组）检查、审核，完成者在必修环节记1个学分。</w:t>
      </w:r>
    </w:p>
    <w:p>
      <w:pPr>
        <w:spacing w:line="400" w:lineRule="exact"/>
        <w:ind w:firstLine="480" w:firstLineChars="200"/>
        <w:rPr>
          <w:b/>
          <w:bCs/>
          <w:sz w:val="24"/>
        </w:rPr>
      </w:pPr>
      <w:r>
        <w:rPr>
          <w:bCs/>
          <w:sz w:val="24"/>
        </w:rPr>
        <w:t>（三）</w:t>
      </w:r>
      <w:r>
        <w:rPr>
          <w:sz w:val="24"/>
        </w:rPr>
        <w:t>选题报告及中期考核</w:t>
      </w:r>
    </w:p>
    <w:p>
      <w:pPr>
        <w:spacing w:line="400" w:lineRule="exact"/>
        <w:ind w:firstLine="480" w:firstLineChars="200"/>
        <w:rPr>
          <w:sz w:val="24"/>
        </w:rPr>
      </w:pPr>
      <w:r>
        <w:rPr>
          <w:sz w:val="24"/>
        </w:rPr>
        <w:t>学位论文选题一般应结合导师的研究方向和科研项目，面向国民经济和社会发展的需要选择具有理论意义或应用价值的课题。确定学位论文工作的内容和工作量时应考虑硕士研究生的类型、知识结构、工作能力和培养年限等因素。</w:t>
      </w:r>
    </w:p>
    <w:p>
      <w:pPr>
        <w:spacing w:line="400" w:lineRule="exact"/>
        <w:ind w:firstLine="480" w:firstLineChars="200"/>
        <w:rPr>
          <w:sz w:val="24"/>
        </w:rPr>
      </w:pPr>
      <w:r>
        <w:rPr>
          <w:sz w:val="24"/>
        </w:rPr>
        <w:t>学术学位硕士研究生必须参加学校的中期考核。学术学位硕士研究生选题报告和中期考核的具体要求，按照研究生手册《研究生中期考核与选题管理办法》执行。选题报告通过后记1个必修环节学分。</w:t>
      </w:r>
    </w:p>
    <w:p>
      <w:pPr>
        <w:spacing w:before="156" w:beforeLines="50" w:after="156" w:afterLines="50"/>
        <w:outlineLvl w:val="2"/>
        <w:rPr>
          <w:b/>
          <w:bCs/>
          <w:kern w:val="0"/>
          <w:sz w:val="24"/>
          <w:lang w:val="zh-CN"/>
        </w:rPr>
      </w:pPr>
      <w:bookmarkStart w:id="13" w:name="_Toc19968"/>
      <w:r>
        <w:rPr>
          <w:rFonts w:hint="eastAsia"/>
          <w:b/>
          <w:bCs/>
          <w:kern w:val="0"/>
          <w:sz w:val="24"/>
          <w:lang w:val="zh-CN"/>
        </w:rPr>
        <w:t>六、</w:t>
      </w:r>
      <w:bookmarkEnd w:id="13"/>
      <w:r>
        <w:rPr>
          <w:rFonts w:hint="eastAsia"/>
          <w:b/>
          <w:bCs/>
          <w:kern w:val="0"/>
          <w:sz w:val="24"/>
        </w:rPr>
        <w:t>科学研究与学位论文</w:t>
      </w:r>
    </w:p>
    <w:p>
      <w:pPr>
        <w:spacing w:line="400" w:lineRule="exact"/>
        <w:ind w:firstLine="480" w:firstLineChars="200"/>
        <w:rPr>
          <w:sz w:val="24"/>
          <w:szCs w:val="21"/>
        </w:rPr>
      </w:pPr>
      <w:bookmarkStart w:id="14" w:name="_Toc8359"/>
      <w:r>
        <w:rPr>
          <w:rFonts w:hint="eastAsia"/>
          <w:sz w:val="24"/>
          <w:szCs w:val="21"/>
        </w:rPr>
        <w:t>（一）科学研究</w:t>
      </w:r>
    </w:p>
    <w:p>
      <w:pPr>
        <w:spacing w:line="400" w:lineRule="exact"/>
        <w:ind w:firstLine="480" w:firstLineChars="200"/>
        <w:rPr>
          <w:bCs/>
          <w:sz w:val="24"/>
        </w:rPr>
      </w:pPr>
      <w:r>
        <w:rPr>
          <w:rFonts w:hint="eastAsia"/>
          <w:sz w:val="24"/>
        </w:rPr>
        <w:t>外国语言文学</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pPr>
        <w:spacing w:line="400" w:lineRule="exact"/>
        <w:ind w:firstLine="480" w:firstLineChars="200"/>
        <w:rPr>
          <w:sz w:val="24"/>
          <w:szCs w:val="21"/>
        </w:rPr>
      </w:pPr>
      <w:r>
        <w:rPr>
          <w:rFonts w:hint="eastAsia"/>
          <w:sz w:val="24"/>
          <w:szCs w:val="21"/>
        </w:rPr>
        <w:t>（二）学位论文</w:t>
      </w:r>
    </w:p>
    <w:p>
      <w:pPr>
        <w:spacing w:line="400" w:lineRule="exact"/>
        <w:ind w:firstLine="480" w:firstLineChars="20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sz w:val="24"/>
        </w:rPr>
        <w:t>外国语言文学</w:t>
      </w:r>
      <w:r>
        <w:rPr>
          <w:sz w:val="24"/>
        </w:rPr>
        <w:t>学术学位硕士研究生</w:t>
      </w:r>
      <w:r>
        <w:rPr>
          <w:bCs/>
          <w:sz w:val="24"/>
        </w:rPr>
        <w:t>应在导师指导下独立完成硕士学位论文工作。</w:t>
      </w:r>
    </w:p>
    <w:p>
      <w:pPr>
        <w:adjustRightInd w:val="0"/>
        <w:snapToGrid w:val="0"/>
        <w:spacing w:line="400" w:lineRule="exact"/>
        <w:ind w:firstLine="480" w:firstLineChars="200"/>
        <w:rPr>
          <w:sz w:val="24"/>
        </w:rPr>
      </w:pPr>
      <w:r>
        <w:rPr>
          <w:rFonts w:hint="eastAsia"/>
          <w:sz w:val="24"/>
        </w:rPr>
        <w:t>外国语言文学学术学位硕士研究生在硕士学位论文送审前，须满足取得学籍当年学校申请硕士学位学术成果有关规定和</w:t>
      </w:r>
      <w:r>
        <w:rPr>
          <w:bCs/>
          <w:sz w:val="24"/>
        </w:rPr>
        <w:t>外国语学院</w:t>
      </w:r>
      <w:r>
        <w:rPr>
          <w:rFonts w:hint="eastAsia"/>
          <w:sz w:val="24"/>
        </w:rPr>
        <w:t>学位与研究生教育有关规定，方可送审。</w:t>
      </w:r>
    </w:p>
    <w:p>
      <w:pPr>
        <w:adjustRightInd w:val="0"/>
        <w:snapToGrid w:val="0"/>
        <w:spacing w:line="400" w:lineRule="exact"/>
        <w:ind w:firstLine="480" w:firstLineChars="200"/>
        <w:rPr>
          <w:sz w:val="24"/>
        </w:rPr>
      </w:pPr>
      <w:r>
        <w:rPr>
          <w:rFonts w:hint="eastAsia"/>
          <w:sz w:val="24"/>
        </w:rPr>
        <w:t>外国语言文学学术学位硕士研究生在硕士学位论文答辩前，须达到学校研究生学位论文答辩管理办法有关要求，方可答辩。</w:t>
      </w:r>
    </w:p>
    <w:p>
      <w:pPr>
        <w:adjustRightInd w:val="0"/>
        <w:snapToGrid w:val="0"/>
        <w:spacing w:line="400" w:lineRule="exact"/>
        <w:ind w:firstLine="480" w:firstLineChars="200"/>
        <w:rPr>
          <w:sz w:val="24"/>
        </w:rPr>
      </w:pPr>
      <w:r>
        <w:rPr>
          <w:rFonts w:hint="eastAsia"/>
          <w:sz w:val="24"/>
        </w:rPr>
        <w:t>※ 未尽事宜以研究生取得学籍当年武汉理工大学《研究生手册》和</w:t>
      </w:r>
      <w:r>
        <w:rPr>
          <w:bCs/>
          <w:sz w:val="24"/>
        </w:rPr>
        <w:t>外国语学院</w:t>
      </w:r>
      <w:r>
        <w:rPr>
          <w:rFonts w:hint="eastAsia"/>
          <w:sz w:val="24"/>
        </w:rPr>
        <w:t>学位与研究生教育有关规定为准。</w:t>
      </w:r>
    </w:p>
    <w:p>
      <w:pPr>
        <w:spacing w:before="156" w:beforeLines="50" w:after="156" w:afterLines="50"/>
        <w:outlineLvl w:val="2"/>
        <w:rPr>
          <w:b/>
          <w:bCs/>
          <w:kern w:val="0"/>
          <w:sz w:val="24"/>
          <w:lang w:val="zh-CN"/>
        </w:rPr>
      </w:pPr>
      <w:r>
        <w:rPr>
          <w:b/>
          <w:bCs/>
          <w:kern w:val="0"/>
          <w:sz w:val="24"/>
          <w:lang w:val="zh-CN"/>
        </w:rPr>
        <w:t>七、培养方式与方法</w:t>
      </w:r>
      <w:bookmarkEnd w:id="14"/>
    </w:p>
    <w:p>
      <w:pPr>
        <w:spacing w:line="400" w:lineRule="exact"/>
        <w:ind w:firstLine="480" w:firstLineChars="200"/>
        <w:rPr>
          <w:sz w:val="24"/>
        </w:rPr>
      </w:pPr>
      <w:r>
        <w:rPr>
          <w:rFonts w:hint="eastAsia"/>
          <w:sz w:val="24"/>
        </w:rPr>
        <w:t>外国语言文学学术学位</w:t>
      </w:r>
      <w:r>
        <w:rPr>
          <w:sz w:val="24"/>
        </w:rPr>
        <w:t>硕士研究生的培养采取导师负责制或以导师为主的指导小组的指导方法，培养方式应灵活多样，更多地采取启发式、研讨式的教学方式，充分发挥指导教师的主导作用。</w:t>
      </w:r>
    </w:p>
    <w:p>
      <w:pPr>
        <w:spacing w:line="400" w:lineRule="exact"/>
        <w:ind w:firstLine="480" w:firstLineChars="200"/>
        <w:rPr>
          <w:sz w:val="24"/>
        </w:rPr>
      </w:pPr>
      <w:r>
        <w:rPr>
          <w:sz w:val="24"/>
        </w:rPr>
        <w:t>积极探索交叉学科研究生团队指导模式改革，组建跨单位跨学科的研究生导师团队，打造多学科交叉融合的课程体系，培养科学化、系统化理论知识与实践深度融合的复合型外语人才，具体要求为：</w:t>
      </w:r>
    </w:p>
    <w:p>
      <w:pPr>
        <w:spacing w:line="400" w:lineRule="exact"/>
        <w:ind w:firstLine="480" w:firstLineChars="200"/>
        <w:rPr>
          <w:sz w:val="24"/>
        </w:rPr>
      </w:pPr>
      <w:r>
        <w:rPr>
          <w:rFonts w:hint="eastAsia"/>
          <w:sz w:val="24"/>
        </w:rPr>
        <w:t>（一）</w:t>
      </w:r>
      <w:r>
        <w:rPr>
          <w:sz w:val="24"/>
        </w:rPr>
        <w:t>导师应有适于培养外国语言文学学术学位硕士研究生的研究课题，同时定期与学术学位硕士研究生交流，关心学术学位硕士研究生的思想品德、学术进展和综合素质，促进硕士生德、智、体、美、劳全面发展。</w:t>
      </w:r>
    </w:p>
    <w:p>
      <w:pPr>
        <w:spacing w:line="400" w:lineRule="exact"/>
        <w:ind w:firstLine="480" w:firstLineChars="200"/>
        <w:rPr>
          <w:sz w:val="24"/>
        </w:rPr>
      </w:pPr>
      <w:r>
        <w:rPr>
          <w:bCs/>
          <w:sz w:val="24"/>
        </w:rPr>
        <w:t>（二）</w:t>
      </w:r>
      <w:r>
        <w:rPr>
          <w:sz w:val="24"/>
        </w:rPr>
        <w:t>导师负责外国语言文学学术学位硕士研究生培养计划制定、学位论文选题、中期、论文撰写和学位申请等方面的指导工作。导师全面负责学术学位硕士研究生的培养质量，建立规范化的学术交流和学术报告制度，按期检查培养环节的完成情况。</w:t>
      </w:r>
    </w:p>
    <w:p>
      <w:pPr>
        <w:spacing w:line="400" w:lineRule="exact"/>
        <w:ind w:firstLine="480" w:firstLineChars="200"/>
        <w:rPr>
          <w:sz w:val="24"/>
        </w:rPr>
      </w:pPr>
      <w:r>
        <w:rPr>
          <w:bCs/>
          <w:sz w:val="24"/>
        </w:rPr>
        <w:t>（三）</w:t>
      </w:r>
      <w:r>
        <w:rPr>
          <w:sz w:val="24"/>
        </w:rPr>
        <w:t>坚持课程学习和科研论文工作并重的原则。既要深入掌握本门学科坚实的基础理论和系统的专门知识，又要培养具有科学研究或独立担负专门技术工作的能力。</w:t>
      </w:r>
    </w:p>
    <w:p>
      <w:pPr>
        <w:spacing w:line="400" w:lineRule="exact"/>
        <w:ind w:firstLine="480" w:firstLineChars="200"/>
        <w:rPr>
          <w:sz w:val="24"/>
        </w:rPr>
      </w:pPr>
    </w:p>
    <w:p>
      <w:pPr>
        <w:spacing w:before="156" w:beforeLines="50" w:after="156" w:afterLines="50"/>
        <w:outlineLvl w:val="2"/>
        <w:rPr>
          <w:b/>
          <w:bCs/>
          <w:sz w:val="24"/>
          <w:lang w:val="zh-CN"/>
        </w:rPr>
      </w:pPr>
      <w:bookmarkStart w:id="15" w:name="_Toc20193"/>
      <w:r>
        <w:rPr>
          <w:b/>
          <w:bCs/>
          <w:kern w:val="0"/>
          <w:sz w:val="24"/>
          <w:lang w:val="zh-CN"/>
        </w:rPr>
        <w:t>八</w:t>
      </w:r>
      <w:r>
        <w:rPr>
          <w:rFonts w:hint="eastAsia"/>
          <w:b/>
          <w:bCs/>
          <w:kern w:val="0"/>
          <w:sz w:val="24"/>
          <w:lang w:val="zh-CN"/>
        </w:rPr>
        <w:t>、</w:t>
      </w:r>
      <w:r>
        <w:rPr>
          <w:b/>
          <w:bCs/>
          <w:sz w:val="24"/>
          <w:lang w:val="zh-CN"/>
        </w:rPr>
        <w:t>其他</w:t>
      </w:r>
      <w:bookmarkEnd w:id="15"/>
    </w:p>
    <w:p>
      <w:pPr>
        <w:spacing w:line="400" w:lineRule="exact"/>
        <w:ind w:firstLine="480" w:firstLineChars="200"/>
        <w:rPr>
          <w:bCs/>
          <w:sz w:val="24"/>
        </w:rPr>
      </w:pPr>
      <w:r>
        <w:rPr>
          <w:bCs/>
          <w:sz w:val="24"/>
        </w:rPr>
        <w:t>（一）外国语言文学学术学位硕士研究生开题前需修满学位课程的学分，允许研究生开题后根据论文研究需要选修部分其他课程，申请答辩前须修完全部课程。</w:t>
      </w:r>
    </w:p>
    <w:p>
      <w:pPr>
        <w:spacing w:line="400" w:lineRule="exact"/>
        <w:ind w:firstLine="480" w:firstLineChars="200"/>
        <w:rPr>
          <w:bCs/>
          <w:sz w:val="24"/>
        </w:rPr>
      </w:pPr>
      <w:r>
        <w:rPr>
          <w:bCs/>
          <w:sz w:val="24"/>
        </w:rPr>
        <w:t>（二）外国语言文学学术学位硕士研究生在学期间应查阅本学科国内外文献40篇以上，其中外文文献不少于三分之一。</w:t>
      </w:r>
    </w:p>
    <w:p>
      <w:pPr>
        <w:spacing w:line="400" w:lineRule="exact"/>
        <w:ind w:firstLine="480" w:firstLineChars="200"/>
        <w:rPr>
          <w:bCs/>
          <w:sz w:val="24"/>
        </w:rPr>
      </w:pPr>
      <w:r>
        <w:rPr>
          <w:bCs/>
          <w:sz w:val="24"/>
        </w:rPr>
        <w:t>（三）外国语言文学学术学位硕士研究生在课程学习阶段每月至少1次、论文工作阶段至少每月2次向指导教师汇报自己的学习和研究工作情况并形成制度。</w:t>
      </w:r>
    </w:p>
    <w:p>
      <w:pPr>
        <w:spacing w:line="400" w:lineRule="exact"/>
        <w:ind w:firstLine="480" w:firstLineChars="200"/>
        <w:rPr>
          <w:bCs/>
          <w:sz w:val="24"/>
        </w:rPr>
      </w:pPr>
      <w:r>
        <w:rPr>
          <w:bCs/>
          <w:sz w:val="24"/>
        </w:rPr>
        <w:t>（四）全日制、非全日制研究生适用同一培养方案。</w:t>
      </w:r>
    </w:p>
    <w:p>
      <w:pPr>
        <w:spacing w:line="400" w:lineRule="exact"/>
        <w:ind w:firstLine="480" w:firstLineChars="200"/>
        <w:rPr>
          <w:sz w:val="24"/>
        </w:rPr>
      </w:pPr>
      <w:r>
        <w:rPr>
          <w:bCs/>
          <w:sz w:val="24"/>
        </w:rPr>
        <w:t>（五）本次制订培养方案从2022级外国语言文学学术学位硕士研究生开始执行</w:t>
      </w:r>
      <w:r>
        <w:rPr>
          <w:sz w:val="24"/>
        </w:rPr>
        <w:t>。</w:t>
      </w:r>
    </w:p>
    <w:p>
      <w:r>
        <w:br w:type="page"/>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78CED1"/>
    <w:multiLevelType w:val="singleLevel"/>
    <w:tmpl w:val="5778CED1"/>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wYTBiYzU3YzNkYTJkNDk5OTNkZjRjMTczZmNjM2QifQ=="/>
  </w:docVars>
  <w:rsids>
    <w:rsidRoot w:val="0D7C010E"/>
    <w:rsid w:val="0D7C0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2022-09-01T08:56:00Z</dcterms:created>
  <dc:creator>李太白 不白</dc:creator>
  <cp:lastModifiedBy>李太白 不白</cp:lastModifiedBy>
  <dcterms:modified xsi:type="dcterms:W3CDTF">2022-09-01T08:57:58Z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0E541E63E7B04171A387F8CB9A4B5FA2</vt:lpwstr>
  </property>
</Properties>
</file>